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ED04" w14:textId="1BA0820C" w:rsidR="00883EEF" w:rsidRPr="00C722FE" w:rsidRDefault="00883EEF" w:rsidP="00C722FE">
      <w:pPr>
        <w:jc w:val="center"/>
        <w:rPr>
          <w:rFonts w:asciiTheme="minorHAnsi" w:eastAsia="Times New Roman" w:hAnsiTheme="minorHAnsi" w:cstheme="minorHAnsi"/>
          <w:b/>
          <w:bCs/>
          <w:sz w:val="22"/>
          <w:szCs w:val="22"/>
          <w:lang w:eastAsia="fr-FR"/>
        </w:rPr>
      </w:pPr>
      <w:r w:rsidRPr="007E0F43">
        <w:rPr>
          <w:rFonts w:asciiTheme="minorHAnsi" w:hAnsiTheme="minorHAnsi" w:cstheme="minorHAnsi"/>
          <w:b/>
          <w:bCs/>
          <w:sz w:val="22"/>
          <w:szCs w:val="22"/>
        </w:rPr>
        <w:t xml:space="preserve">Notice d’information relative à l’accord relatif à la protection des données personnelles signé le 7 avril 2021 entre le H3C et le </w:t>
      </w:r>
      <w:r w:rsidRPr="007E0F43">
        <w:rPr>
          <w:rFonts w:asciiTheme="minorHAnsi" w:eastAsia="Times New Roman" w:hAnsiTheme="minorHAnsi" w:cstheme="minorHAnsi"/>
          <w:b/>
          <w:bCs/>
          <w:sz w:val="22"/>
          <w:szCs w:val="22"/>
          <w:lang w:eastAsia="fr-FR"/>
        </w:rPr>
        <w:t xml:space="preserve">Public </w:t>
      </w:r>
      <w:proofErr w:type="spellStart"/>
      <w:r w:rsidRPr="007E0F43">
        <w:rPr>
          <w:rFonts w:asciiTheme="minorHAnsi" w:eastAsia="Times New Roman" w:hAnsiTheme="minorHAnsi" w:cstheme="minorHAnsi"/>
          <w:b/>
          <w:bCs/>
          <w:sz w:val="22"/>
          <w:szCs w:val="22"/>
          <w:lang w:eastAsia="fr-FR"/>
        </w:rPr>
        <w:t>Company</w:t>
      </w:r>
      <w:proofErr w:type="spellEnd"/>
      <w:r w:rsidRPr="007E0F43">
        <w:rPr>
          <w:rFonts w:asciiTheme="minorHAnsi" w:eastAsia="Times New Roman" w:hAnsiTheme="minorHAnsi" w:cstheme="minorHAnsi"/>
          <w:b/>
          <w:bCs/>
          <w:sz w:val="22"/>
          <w:szCs w:val="22"/>
          <w:lang w:eastAsia="fr-FR"/>
        </w:rPr>
        <w:t xml:space="preserve"> </w:t>
      </w:r>
      <w:proofErr w:type="spellStart"/>
      <w:r w:rsidRPr="007E0F43">
        <w:rPr>
          <w:rFonts w:asciiTheme="minorHAnsi" w:eastAsia="Times New Roman" w:hAnsiTheme="minorHAnsi" w:cstheme="minorHAnsi"/>
          <w:b/>
          <w:bCs/>
          <w:sz w:val="22"/>
          <w:szCs w:val="22"/>
          <w:lang w:eastAsia="fr-FR"/>
        </w:rPr>
        <w:t>Accounting</w:t>
      </w:r>
      <w:proofErr w:type="spellEnd"/>
      <w:r w:rsidRPr="007E0F43">
        <w:rPr>
          <w:rFonts w:asciiTheme="minorHAnsi" w:eastAsia="Times New Roman" w:hAnsiTheme="minorHAnsi" w:cstheme="minorHAnsi"/>
          <w:b/>
          <w:bCs/>
          <w:sz w:val="22"/>
          <w:szCs w:val="22"/>
          <w:lang w:eastAsia="fr-FR"/>
        </w:rPr>
        <w:t xml:space="preserve"> </w:t>
      </w:r>
      <w:proofErr w:type="spellStart"/>
      <w:r w:rsidRPr="007E0F43">
        <w:rPr>
          <w:rFonts w:asciiTheme="minorHAnsi" w:eastAsia="Times New Roman" w:hAnsiTheme="minorHAnsi" w:cstheme="minorHAnsi"/>
          <w:b/>
          <w:bCs/>
          <w:sz w:val="22"/>
          <w:szCs w:val="22"/>
          <w:lang w:eastAsia="fr-FR"/>
        </w:rPr>
        <w:t>Oversight</w:t>
      </w:r>
      <w:proofErr w:type="spellEnd"/>
      <w:r w:rsidRPr="007E0F43">
        <w:rPr>
          <w:rFonts w:asciiTheme="minorHAnsi" w:eastAsia="Times New Roman" w:hAnsiTheme="minorHAnsi" w:cstheme="minorHAnsi"/>
          <w:b/>
          <w:bCs/>
          <w:sz w:val="22"/>
          <w:szCs w:val="22"/>
          <w:lang w:eastAsia="fr-FR"/>
        </w:rPr>
        <w:t xml:space="preserve"> </w:t>
      </w:r>
      <w:proofErr w:type="spellStart"/>
      <w:r w:rsidRPr="007E0F43">
        <w:rPr>
          <w:rFonts w:asciiTheme="minorHAnsi" w:eastAsia="Times New Roman" w:hAnsiTheme="minorHAnsi" w:cstheme="minorHAnsi"/>
          <w:b/>
          <w:bCs/>
          <w:sz w:val="22"/>
          <w:szCs w:val="22"/>
          <w:lang w:eastAsia="fr-FR"/>
        </w:rPr>
        <w:t>Board</w:t>
      </w:r>
      <w:proofErr w:type="spellEnd"/>
      <w:r w:rsidRPr="007E0F43">
        <w:rPr>
          <w:rFonts w:asciiTheme="minorHAnsi" w:eastAsia="Times New Roman" w:hAnsiTheme="minorHAnsi" w:cstheme="minorHAnsi"/>
          <w:b/>
          <w:bCs/>
          <w:sz w:val="22"/>
          <w:szCs w:val="22"/>
          <w:lang w:eastAsia="fr-FR"/>
        </w:rPr>
        <w:t> » (PCAOB)</w:t>
      </w:r>
    </w:p>
    <w:p w14:paraId="65795C56" w14:textId="04478190" w:rsidR="00883EEF" w:rsidRPr="009F14C5" w:rsidRDefault="00883EEF" w:rsidP="0054319F">
      <w:pPr>
        <w:jc w:val="both"/>
        <w:rPr>
          <w:rFonts w:asciiTheme="minorHAnsi" w:hAnsiTheme="minorHAnsi" w:cstheme="minorHAnsi"/>
          <w:sz w:val="22"/>
          <w:szCs w:val="22"/>
        </w:rPr>
      </w:pPr>
      <w:r w:rsidRPr="009F14C5">
        <w:rPr>
          <w:rFonts w:asciiTheme="minorHAnsi" w:eastAsia="Times New Roman" w:hAnsiTheme="minorHAnsi" w:cstheme="minorHAnsi"/>
          <w:sz w:val="22"/>
          <w:szCs w:val="22"/>
          <w:lang w:eastAsia="fr-FR"/>
        </w:rPr>
        <w:t>Le 7 avril 2021, le H3C et son homologue américain, le PCAOB, ont signé un protocole d’accord dont l’objet est de</w:t>
      </w:r>
      <w:r w:rsidRPr="009F14C5">
        <w:rPr>
          <w:rFonts w:asciiTheme="minorHAnsi" w:hAnsiTheme="minorHAnsi" w:cstheme="minorHAnsi"/>
          <w:sz w:val="22"/>
          <w:szCs w:val="22"/>
        </w:rPr>
        <w:t xml:space="preserve"> faciliter leur coopération, dans les limites prévues par leurs législations nationales respectives, s’agissant de la supervision, des contrôles (en ce compris les contrôles conjoints) et des enquêtes portant sur les auditeurs qui relèvent de la compétence des deux régulateurs</w:t>
      </w:r>
      <w:r w:rsidR="0094567D">
        <w:rPr>
          <w:rFonts w:asciiTheme="minorHAnsi" w:hAnsiTheme="minorHAnsi" w:cstheme="minorHAnsi"/>
          <w:sz w:val="22"/>
          <w:szCs w:val="22"/>
        </w:rPr>
        <w:t xml:space="preserve"> (le « Protocole »)</w:t>
      </w:r>
      <w:r w:rsidRPr="009F14C5">
        <w:rPr>
          <w:rFonts w:asciiTheme="minorHAnsi" w:hAnsiTheme="minorHAnsi" w:cstheme="minorHAnsi"/>
          <w:sz w:val="22"/>
          <w:szCs w:val="22"/>
        </w:rPr>
        <w:t>.</w:t>
      </w:r>
    </w:p>
    <w:p w14:paraId="7BD83DAF" w14:textId="6925BB81" w:rsidR="00883EEF" w:rsidRPr="009F14C5" w:rsidRDefault="0094567D" w:rsidP="0054319F">
      <w:pPr>
        <w:jc w:val="both"/>
        <w:rPr>
          <w:rFonts w:asciiTheme="minorHAnsi" w:hAnsiTheme="minorHAnsi" w:cstheme="minorHAnsi"/>
          <w:sz w:val="22"/>
          <w:szCs w:val="22"/>
        </w:rPr>
      </w:pPr>
      <w:r>
        <w:rPr>
          <w:rFonts w:asciiTheme="minorHAnsi" w:hAnsiTheme="minorHAnsi" w:cstheme="minorHAnsi"/>
          <w:sz w:val="22"/>
          <w:szCs w:val="22"/>
        </w:rPr>
        <w:t>L</w:t>
      </w:r>
      <w:r w:rsidR="00883EEF" w:rsidRPr="009F14C5">
        <w:rPr>
          <w:rFonts w:asciiTheme="minorHAnsi" w:hAnsiTheme="minorHAnsi" w:cstheme="minorHAnsi"/>
          <w:sz w:val="22"/>
          <w:szCs w:val="22"/>
        </w:rPr>
        <w:t xml:space="preserve">e </w:t>
      </w:r>
      <w:r>
        <w:rPr>
          <w:rFonts w:asciiTheme="minorHAnsi" w:hAnsiTheme="minorHAnsi" w:cstheme="minorHAnsi"/>
          <w:sz w:val="22"/>
          <w:szCs w:val="22"/>
        </w:rPr>
        <w:t>P</w:t>
      </w:r>
      <w:r w:rsidR="00883EEF" w:rsidRPr="009F14C5">
        <w:rPr>
          <w:rFonts w:asciiTheme="minorHAnsi" w:hAnsiTheme="minorHAnsi" w:cstheme="minorHAnsi"/>
          <w:sz w:val="22"/>
          <w:szCs w:val="22"/>
        </w:rPr>
        <w:t xml:space="preserve">rotocole prévoit que le transfert de données personnelles entre le H3C et le PCAOB </w:t>
      </w:r>
      <w:r w:rsidR="00383F4A">
        <w:rPr>
          <w:rFonts w:asciiTheme="minorHAnsi" w:hAnsiTheme="minorHAnsi" w:cstheme="minorHAnsi"/>
          <w:sz w:val="22"/>
          <w:szCs w:val="22"/>
        </w:rPr>
        <w:t xml:space="preserve">dans le cadre de la mise </w:t>
      </w:r>
      <w:r w:rsidR="0039735D">
        <w:rPr>
          <w:rFonts w:asciiTheme="minorHAnsi" w:hAnsiTheme="minorHAnsi" w:cstheme="minorHAnsi"/>
          <w:sz w:val="22"/>
          <w:szCs w:val="22"/>
        </w:rPr>
        <w:t xml:space="preserve">en œuvre du Protocole </w:t>
      </w:r>
      <w:r w:rsidR="00883EEF" w:rsidRPr="009F14C5">
        <w:rPr>
          <w:rFonts w:asciiTheme="minorHAnsi" w:hAnsiTheme="minorHAnsi" w:cstheme="minorHAnsi"/>
          <w:sz w:val="22"/>
          <w:szCs w:val="22"/>
        </w:rPr>
        <w:t>est soumis à l’établissement d’un accord approprié.</w:t>
      </w:r>
    </w:p>
    <w:p w14:paraId="31C358BD" w14:textId="259EEAC6" w:rsidR="00883EEF" w:rsidRPr="009F14C5" w:rsidRDefault="00883EEF" w:rsidP="0054319F">
      <w:pPr>
        <w:jc w:val="both"/>
        <w:rPr>
          <w:rFonts w:asciiTheme="minorHAnsi" w:hAnsiTheme="minorHAnsi" w:cstheme="minorHAnsi"/>
          <w:sz w:val="22"/>
          <w:szCs w:val="22"/>
        </w:rPr>
      </w:pPr>
      <w:r w:rsidRPr="009F14C5">
        <w:rPr>
          <w:rFonts w:asciiTheme="minorHAnsi" w:hAnsiTheme="minorHAnsi" w:cstheme="minorHAnsi"/>
          <w:sz w:val="22"/>
          <w:szCs w:val="22"/>
        </w:rPr>
        <w:t>Cet accord sur le transfert de certaines données à caractère personnel (l’« Accord ») a également été signé le 7 avril 2021, après avoir fait l’objet d’un avis favorable du Comité Européen du Protection des Données (CEPD) le 2 février 2021, et d’une autorisation de la Commission Nationale Informatique et Libertés (CNIL) le 18 mars 2021.</w:t>
      </w:r>
      <w:r w:rsidR="00972FC6">
        <w:rPr>
          <w:rFonts w:asciiTheme="minorHAnsi" w:hAnsiTheme="minorHAnsi" w:cstheme="minorHAnsi"/>
          <w:sz w:val="22"/>
          <w:szCs w:val="22"/>
        </w:rPr>
        <w:t xml:space="preserve"> Cet accord constitue un arrangement administratif visé à l’article 46.3</w:t>
      </w:r>
      <w:r w:rsidR="00F97703">
        <w:rPr>
          <w:rFonts w:asciiTheme="minorHAnsi" w:hAnsiTheme="minorHAnsi" w:cstheme="minorHAnsi"/>
          <w:sz w:val="22"/>
          <w:szCs w:val="22"/>
        </w:rPr>
        <w:t xml:space="preserve">(b) </w:t>
      </w:r>
      <w:r w:rsidR="00972FC6">
        <w:rPr>
          <w:rFonts w:asciiTheme="minorHAnsi" w:hAnsiTheme="minorHAnsi" w:cstheme="minorHAnsi"/>
          <w:sz w:val="22"/>
          <w:szCs w:val="22"/>
        </w:rPr>
        <w:t>du</w:t>
      </w:r>
      <w:r w:rsidR="00C46502">
        <w:rPr>
          <w:rFonts w:asciiTheme="minorHAnsi" w:hAnsiTheme="minorHAnsi" w:cstheme="minorHAnsi"/>
          <w:sz w:val="22"/>
          <w:szCs w:val="22"/>
        </w:rPr>
        <w:t xml:space="preserve"> </w:t>
      </w:r>
      <w:r w:rsidR="00C46502">
        <w:rPr>
          <w:rFonts w:ascii="Calibri" w:hAnsi="Calibri" w:cs="Calibri"/>
          <w:bCs/>
          <w:sz w:val="22"/>
          <w:szCs w:val="22"/>
          <w:lang w:eastAsia="nl-NL"/>
        </w:rPr>
        <w:t>règlement (UE) 2016/679 du Parlement européen et du Conseil du 27 avril 2016 relatif à la protection des personnes physiques à l’égard du traitement des données à caractère personnel et à la libre circulation de ces données, et abrogeant la directive 95/46/CE</w:t>
      </w:r>
      <w:r w:rsidR="00651719">
        <w:rPr>
          <w:rFonts w:asciiTheme="minorHAnsi" w:hAnsiTheme="minorHAnsi" w:cstheme="minorHAnsi"/>
          <w:sz w:val="22"/>
          <w:szCs w:val="22"/>
        </w:rPr>
        <w:t xml:space="preserve"> (RGPD)</w:t>
      </w:r>
      <w:r w:rsidR="00C46502">
        <w:rPr>
          <w:rFonts w:asciiTheme="minorHAnsi" w:hAnsiTheme="minorHAnsi" w:cstheme="minorHAnsi"/>
          <w:sz w:val="22"/>
          <w:szCs w:val="22"/>
        </w:rPr>
        <w:t>.</w:t>
      </w:r>
    </w:p>
    <w:p w14:paraId="6F699076" w14:textId="5CA17C14" w:rsidR="006C1CAD" w:rsidRDefault="00883EEF" w:rsidP="0054319F">
      <w:pPr>
        <w:pStyle w:val="Default"/>
        <w:tabs>
          <w:tab w:val="left" w:pos="0"/>
        </w:tabs>
        <w:spacing w:after="200"/>
        <w:jc w:val="both"/>
        <w:rPr>
          <w:rFonts w:ascii="Calibri" w:hAnsi="Calibri" w:cs="Calibri"/>
          <w:color w:val="272727"/>
          <w:sz w:val="22"/>
          <w:szCs w:val="22"/>
        </w:rPr>
      </w:pPr>
      <w:r w:rsidRPr="00266786">
        <w:rPr>
          <w:rFonts w:asciiTheme="minorHAnsi" w:hAnsiTheme="minorHAnsi" w:cstheme="minorHAnsi"/>
          <w:sz w:val="22"/>
          <w:szCs w:val="22"/>
        </w:rPr>
        <w:t>La présente notice d’information est</w:t>
      </w:r>
      <w:r>
        <w:rPr>
          <w:rFonts w:cs="Calibri"/>
        </w:rPr>
        <w:t xml:space="preserve"> </w:t>
      </w:r>
      <w:r>
        <w:rPr>
          <w:rFonts w:ascii="Calibri" w:hAnsi="Calibri" w:cs="Calibri"/>
          <w:color w:val="272727"/>
          <w:sz w:val="22"/>
          <w:szCs w:val="22"/>
        </w:rPr>
        <w:t xml:space="preserve">établie en application de l’article III.3 de l’Accord qui dispose que le H3C communiquera aux personnes concernées, par le biais d’une publication sur son site internet, une information générale sur </w:t>
      </w:r>
      <w:r w:rsidR="002E7D0D">
        <w:rPr>
          <w:rFonts w:ascii="Calibri" w:hAnsi="Calibri" w:cs="Calibri"/>
          <w:color w:val="272727"/>
          <w:sz w:val="22"/>
          <w:szCs w:val="22"/>
        </w:rPr>
        <w:t>certains points de l’Accord</w:t>
      </w:r>
      <w:r w:rsidR="00627089">
        <w:rPr>
          <w:rFonts w:ascii="Calibri" w:hAnsi="Calibri" w:cs="Calibri"/>
          <w:color w:val="272727"/>
          <w:sz w:val="22"/>
          <w:szCs w:val="22"/>
        </w:rPr>
        <w:t>, tels que décrits ci-dessous.</w:t>
      </w:r>
      <w:r w:rsidR="006C1CAD">
        <w:rPr>
          <w:rFonts w:ascii="Calibri" w:hAnsi="Calibri" w:cs="Calibri"/>
          <w:color w:val="272727"/>
          <w:sz w:val="22"/>
          <w:szCs w:val="22"/>
        </w:rPr>
        <w:t xml:space="preserve"> </w:t>
      </w:r>
      <w:r w:rsidR="005D0F5B" w:rsidRPr="00D269E2">
        <w:rPr>
          <w:rFonts w:ascii="Calibri" w:hAnsi="Calibri" w:cs="Calibri"/>
          <w:b/>
          <w:bCs/>
          <w:color w:val="272727"/>
          <w:sz w:val="22"/>
          <w:szCs w:val="22"/>
          <w:u w:val="single"/>
        </w:rPr>
        <w:t>La présente notice</w:t>
      </w:r>
      <w:r w:rsidR="006C1CAD" w:rsidRPr="00D269E2">
        <w:rPr>
          <w:rFonts w:ascii="Calibri" w:hAnsi="Calibri" w:cs="Calibri"/>
          <w:b/>
          <w:bCs/>
          <w:color w:val="272727"/>
          <w:sz w:val="22"/>
          <w:szCs w:val="22"/>
          <w:u w:val="single"/>
        </w:rPr>
        <w:t xml:space="preserve"> a une vocation purement informative</w:t>
      </w:r>
      <w:r w:rsidR="00092A1A">
        <w:rPr>
          <w:rFonts w:ascii="Calibri" w:hAnsi="Calibri" w:cs="Calibri"/>
          <w:b/>
          <w:bCs/>
          <w:color w:val="272727"/>
          <w:sz w:val="22"/>
          <w:szCs w:val="22"/>
          <w:u w:val="single"/>
        </w:rPr>
        <w:t xml:space="preserve"> et a pour objectif de faciliter la lecture du Protocole et de l’Accord</w:t>
      </w:r>
      <w:r w:rsidR="00E7138A">
        <w:rPr>
          <w:rFonts w:ascii="Calibri" w:hAnsi="Calibri" w:cs="Calibri"/>
          <w:b/>
          <w:bCs/>
          <w:color w:val="272727"/>
          <w:sz w:val="22"/>
          <w:szCs w:val="22"/>
          <w:u w:val="single"/>
        </w:rPr>
        <w:t xml:space="preserve">. </w:t>
      </w:r>
      <w:r w:rsidR="00E609F7">
        <w:rPr>
          <w:rFonts w:ascii="Calibri" w:hAnsi="Calibri" w:cs="Calibri"/>
          <w:b/>
          <w:bCs/>
          <w:color w:val="272727"/>
          <w:sz w:val="22"/>
          <w:szCs w:val="22"/>
          <w:u w:val="single"/>
        </w:rPr>
        <w:t>Du fait de son caractère général</w:t>
      </w:r>
      <w:r w:rsidR="00E7138A">
        <w:rPr>
          <w:rFonts w:ascii="Calibri" w:hAnsi="Calibri" w:cs="Calibri"/>
          <w:b/>
          <w:bCs/>
          <w:color w:val="272727"/>
          <w:sz w:val="22"/>
          <w:szCs w:val="22"/>
          <w:u w:val="single"/>
        </w:rPr>
        <w:t xml:space="preserve">, elle </w:t>
      </w:r>
      <w:r w:rsidR="00E609F7">
        <w:rPr>
          <w:rFonts w:ascii="Calibri" w:hAnsi="Calibri" w:cs="Calibri"/>
          <w:b/>
          <w:bCs/>
          <w:color w:val="272727"/>
          <w:sz w:val="22"/>
          <w:szCs w:val="22"/>
          <w:u w:val="single"/>
        </w:rPr>
        <w:t xml:space="preserve">ne </w:t>
      </w:r>
      <w:r w:rsidR="006C1CAD" w:rsidRPr="00D269E2">
        <w:rPr>
          <w:rFonts w:ascii="Calibri" w:hAnsi="Calibri" w:cs="Calibri"/>
          <w:b/>
          <w:bCs/>
          <w:color w:val="272727"/>
          <w:sz w:val="22"/>
          <w:szCs w:val="22"/>
          <w:u w:val="single"/>
        </w:rPr>
        <w:t>saurait remplacer la lecture du Protocole et de l’Accord</w:t>
      </w:r>
      <w:r w:rsidR="00224B98" w:rsidRPr="00D269E2">
        <w:rPr>
          <w:rFonts w:ascii="Calibri" w:hAnsi="Calibri" w:cs="Calibri"/>
          <w:b/>
          <w:bCs/>
          <w:color w:val="272727"/>
          <w:sz w:val="22"/>
          <w:szCs w:val="22"/>
          <w:u w:val="single"/>
        </w:rPr>
        <w:t xml:space="preserve"> qui sont publiés sur le site internet du H3C</w:t>
      </w:r>
      <w:r w:rsidR="00274F4A" w:rsidRPr="00D269E2">
        <w:rPr>
          <w:rFonts w:ascii="Calibri" w:hAnsi="Calibri" w:cs="Calibri"/>
          <w:b/>
          <w:bCs/>
          <w:color w:val="272727"/>
          <w:sz w:val="22"/>
          <w:szCs w:val="22"/>
          <w:u w:val="single"/>
        </w:rPr>
        <w:t xml:space="preserve"> </w:t>
      </w:r>
      <w:r w:rsidR="00D269E2">
        <w:rPr>
          <w:rFonts w:ascii="Calibri" w:hAnsi="Calibri" w:cs="Calibri"/>
          <w:b/>
          <w:bCs/>
          <w:color w:val="272727"/>
          <w:sz w:val="22"/>
          <w:szCs w:val="22"/>
          <w:u w:val="single"/>
        </w:rPr>
        <w:t>(</w:t>
      </w:r>
      <w:r w:rsidR="00274F4A" w:rsidRPr="00D269E2">
        <w:rPr>
          <w:rFonts w:ascii="Calibri" w:hAnsi="Calibri" w:cs="Calibri"/>
          <w:b/>
          <w:bCs/>
          <w:color w:val="272727"/>
          <w:sz w:val="22"/>
          <w:szCs w:val="22"/>
          <w:u w:val="single"/>
        </w:rPr>
        <w:t>www.h3c.org</w:t>
      </w:r>
      <w:r w:rsidR="00D269E2">
        <w:rPr>
          <w:rFonts w:ascii="Calibri" w:hAnsi="Calibri" w:cs="Calibri"/>
          <w:b/>
          <w:bCs/>
          <w:color w:val="272727"/>
          <w:sz w:val="22"/>
          <w:szCs w:val="22"/>
          <w:u w:val="single"/>
        </w:rPr>
        <w:t>)</w:t>
      </w:r>
      <w:r w:rsidR="006C1CAD" w:rsidRPr="00D269E2">
        <w:rPr>
          <w:rFonts w:ascii="Calibri" w:hAnsi="Calibri" w:cs="Calibri"/>
          <w:b/>
          <w:bCs/>
          <w:color w:val="272727"/>
          <w:sz w:val="22"/>
          <w:szCs w:val="22"/>
          <w:u w:val="single"/>
        </w:rPr>
        <w:t xml:space="preserve">. </w:t>
      </w:r>
      <w:r w:rsidR="004D3952" w:rsidRPr="00D269E2">
        <w:rPr>
          <w:rFonts w:ascii="Calibri" w:hAnsi="Calibri" w:cs="Calibri"/>
          <w:b/>
          <w:bCs/>
          <w:color w:val="272727"/>
          <w:sz w:val="22"/>
          <w:szCs w:val="22"/>
          <w:u w:val="single"/>
        </w:rPr>
        <w:t>Elle n</w:t>
      </w:r>
      <w:r w:rsidR="00D269E2">
        <w:rPr>
          <w:rFonts w:ascii="Calibri" w:hAnsi="Calibri" w:cs="Calibri"/>
          <w:b/>
          <w:bCs/>
          <w:color w:val="272727"/>
          <w:sz w:val="22"/>
          <w:szCs w:val="22"/>
          <w:u w:val="single"/>
        </w:rPr>
        <w:t xml:space="preserve">e saurait </w:t>
      </w:r>
      <w:r w:rsidR="00224B98" w:rsidRPr="00D269E2">
        <w:rPr>
          <w:rFonts w:ascii="Calibri" w:hAnsi="Calibri" w:cs="Calibri"/>
          <w:b/>
          <w:bCs/>
          <w:color w:val="272727"/>
          <w:sz w:val="22"/>
          <w:szCs w:val="22"/>
          <w:u w:val="single"/>
        </w:rPr>
        <w:t>engage</w:t>
      </w:r>
      <w:r w:rsidR="00D269E2">
        <w:rPr>
          <w:rFonts w:ascii="Calibri" w:hAnsi="Calibri" w:cs="Calibri"/>
          <w:b/>
          <w:bCs/>
          <w:color w:val="272727"/>
          <w:sz w:val="22"/>
          <w:szCs w:val="22"/>
          <w:u w:val="single"/>
        </w:rPr>
        <w:t>r</w:t>
      </w:r>
      <w:r w:rsidR="00224B98" w:rsidRPr="00D269E2">
        <w:rPr>
          <w:rFonts w:ascii="Calibri" w:hAnsi="Calibri" w:cs="Calibri"/>
          <w:b/>
          <w:bCs/>
          <w:color w:val="272727"/>
          <w:sz w:val="22"/>
          <w:szCs w:val="22"/>
          <w:u w:val="single"/>
        </w:rPr>
        <w:t xml:space="preserve"> </w:t>
      </w:r>
      <w:r w:rsidR="00D269E2">
        <w:rPr>
          <w:rFonts w:ascii="Calibri" w:hAnsi="Calibri" w:cs="Calibri"/>
          <w:b/>
          <w:bCs/>
          <w:color w:val="272727"/>
          <w:sz w:val="22"/>
          <w:szCs w:val="22"/>
          <w:u w:val="single"/>
        </w:rPr>
        <w:t xml:space="preserve">la responsabilité du H3C </w:t>
      </w:r>
      <w:r w:rsidR="00AF2E07">
        <w:rPr>
          <w:rFonts w:ascii="Calibri" w:hAnsi="Calibri" w:cs="Calibri"/>
          <w:b/>
          <w:bCs/>
          <w:color w:val="272727"/>
          <w:sz w:val="22"/>
          <w:szCs w:val="22"/>
          <w:u w:val="single"/>
        </w:rPr>
        <w:t>ou</w:t>
      </w:r>
      <w:r w:rsidR="00D269E2">
        <w:rPr>
          <w:rFonts w:ascii="Calibri" w:hAnsi="Calibri" w:cs="Calibri"/>
          <w:b/>
          <w:bCs/>
          <w:color w:val="272727"/>
          <w:sz w:val="22"/>
          <w:szCs w:val="22"/>
          <w:u w:val="single"/>
        </w:rPr>
        <w:t xml:space="preserve"> du</w:t>
      </w:r>
      <w:r w:rsidR="00224B98" w:rsidRPr="00D269E2">
        <w:rPr>
          <w:rFonts w:ascii="Calibri" w:hAnsi="Calibri" w:cs="Calibri"/>
          <w:b/>
          <w:bCs/>
          <w:color w:val="272727"/>
          <w:sz w:val="22"/>
          <w:szCs w:val="22"/>
          <w:u w:val="single"/>
        </w:rPr>
        <w:t xml:space="preserve"> PCAOB</w:t>
      </w:r>
      <w:r w:rsidR="005E0B14">
        <w:rPr>
          <w:rFonts w:ascii="Calibri" w:hAnsi="Calibri" w:cs="Calibri"/>
          <w:b/>
          <w:bCs/>
          <w:color w:val="272727"/>
          <w:sz w:val="22"/>
          <w:szCs w:val="22"/>
          <w:u w:val="single"/>
        </w:rPr>
        <w:t>, notamment</w:t>
      </w:r>
      <w:r w:rsidR="0009567F">
        <w:rPr>
          <w:rFonts w:ascii="Calibri" w:hAnsi="Calibri" w:cs="Calibri"/>
          <w:b/>
          <w:bCs/>
          <w:color w:val="272727"/>
          <w:sz w:val="22"/>
          <w:szCs w:val="22"/>
          <w:u w:val="single"/>
        </w:rPr>
        <w:t xml:space="preserve"> en cas d’</w:t>
      </w:r>
      <w:r w:rsidR="00AF2E07">
        <w:rPr>
          <w:rFonts w:ascii="Calibri" w:hAnsi="Calibri" w:cs="Calibri"/>
          <w:b/>
          <w:bCs/>
          <w:color w:val="272727"/>
          <w:sz w:val="22"/>
          <w:szCs w:val="22"/>
          <w:u w:val="single"/>
        </w:rPr>
        <w:t>inexactitude</w:t>
      </w:r>
      <w:r w:rsidR="0009567F">
        <w:rPr>
          <w:rFonts w:ascii="Calibri" w:hAnsi="Calibri" w:cs="Calibri"/>
          <w:b/>
          <w:bCs/>
          <w:color w:val="272727"/>
          <w:sz w:val="22"/>
          <w:szCs w:val="22"/>
          <w:u w:val="single"/>
        </w:rPr>
        <w:t>, d’omission ou d’incomplétude</w:t>
      </w:r>
      <w:r w:rsidR="00224B98" w:rsidRPr="00D269E2">
        <w:rPr>
          <w:rFonts w:ascii="Calibri" w:hAnsi="Calibri" w:cs="Calibri"/>
          <w:b/>
          <w:bCs/>
          <w:color w:val="272727"/>
          <w:sz w:val="22"/>
          <w:szCs w:val="22"/>
          <w:u w:val="single"/>
        </w:rPr>
        <w:t>.</w:t>
      </w:r>
    </w:p>
    <w:p w14:paraId="712B4F07" w14:textId="55E0F96D" w:rsidR="00D21DAB" w:rsidRPr="00E10C89" w:rsidRDefault="00850B1D" w:rsidP="0054319F">
      <w:pPr>
        <w:pStyle w:val="Paragraphedeliste"/>
        <w:numPr>
          <w:ilvl w:val="0"/>
          <w:numId w:val="13"/>
        </w:numPr>
        <w:shd w:val="clear" w:color="auto" w:fill="FFFFFF"/>
        <w:spacing w:after="0" w:line="240" w:lineRule="auto"/>
        <w:jc w:val="both"/>
        <w:rPr>
          <w:rFonts w:eastAsia="Times New Roman" w:cs="Arial"/>
          <w:b/>
          <w:bCs/>
          <w:lang w:eastAsia="fr-FR"/>
        </w:rPr>
      </w:pPr>
      <w:r>
        <w:rPr>
          <w:rFonts w:cs="Calibri"/>
          <w:b/>
          <w:bCs/>
          <w:color w:val="272727"/>
        </w:rPr>
        <w:t>F</w:t>
      </w:r>
      <w:r w:rsidR="00D21DAB" w:rsidRPr="00850B1D">
        <w:rPr>
          <w:rFonts w:cs="Calibri"/>
          <w:b/>
          <w:bCs/>
          <w:color w:val="272727"/>
        </w:rPr>
        <w:t xml:space="preserve">inalité et façon dont </w:t>
      </w:r>
      <w:r w:rsidR="00E03029" w:rsidRPr="00850B1D">
        <w:rPr>
          <w:rFonts w:cs="Calibri"/>
          <w:b/>
          <w:bCs/>
          <w:color w:val="272727"/>
        </w:rPr>
        <w:t xml:space="preserve">peuvent être </w:t>
      </w:r>
      <w:r w:rsidR="00D21DAB" w:rsidRPr="00850B1D">
        <w:rPr>
          <w:rFonts w:cs="Calibri"/>
          <w:b/>
          <w:bCs/>
          <w:color w:val="272727"/>
        </w:rPr>
        <w:t>trait</w:t>
      </w:r>
      <w:r w:rsidR="00E03029" w:rsidRPr="00850B1D">
        <w:rPr>
          <w:rFonts w:cs="Calibri"/>
          <w:b/>
          <w:bCs/>
          <w:color w:val="272727"/>
        </w:rPr>
        <w:t>ées</w:t>
      </w:r>
      <w:r w:rsidR="00D21DAB" w:rsidRPr="00850B1D">
        <w:rPr>
          <w:rFonts w:cs="Calibri"/>
          <w:b/>
          <w:bCs/>
          <w:color w:val="272727"/>
        </w:rPr>
        <w:t xml:space="preserve"> et transfér</w:t>
      </w:r>
      <w:r w:rsidR="00E03029" w:rsidRPr="00850B1D">
        <w:rPr>
          <w:rFonts w:cs="Calibri"/>
          <w:b/>
          <w:bCs/>
          <w:color w:val="272727"/>
        </w:rPr>
        <w:t>ées</w:t>
      </w:r>
      <w:r w:rsidR="00D21DAB" w:rsidRPr="00850B1D">
        <w:rPr>
          <w:rFonts w:cs="Calibri"/>
          <w:b/>
          <w:bCs/>
          <w:color w:val="272727"/>
        </w:rPr>
        <w:t xml:space="preserve"> des </w:t>
      </w:r>
      <w:r w:rsidR="00E03029" w:rsidRPr="00850B1D">
        <w:rPr>
          <w:rFonts w:cs="Calibri"/>
          <w:b/>
          <w:bCs/>
          <w:color w:val="272727"/>
        </w:rPr>
        <w:t>d</w:t>
      </w:r>
      <w:r w:rsidR="00D21DAB" w:rsidRPr="00850B1D">
        <w:rPr>
          <w:rFonts w:cs="Calibri"/>
          <w:b/>
          <w:bCs/>
          <w:color w:val="272727"/>
        </w:rPr>
        <w:t xml:space="preserve">onnées à </w:t>
      </w:r>
      <w:r w:rsidR="00E03029" w:rsidRPr="00850B1D">
        <w:rPr>
          <w:rFonts w:cs="Calibri"/>
          <w:b/>
          <w:bCs/>
          <w:color w:val="272727"/>
        </w:rPr>
        <w:t>c</w:t>
      </w:r>
      <w:r w:rsidR="00D21DAB" w:rsidRPr="00850B1D">
        <w:rPr>
          <w:rFonts w:cs="Calibri"/>
          <w:b/>
          <w:bCs/>
          <w:color w:val="272727"/>
        </w:rPr>
        <w:t xml:space="preserve">aractère </w:t>
      </w:r>
      <w:r w:rsidR="00E03029" w:rsidRPr="00850B1D">
        <w:rPr>
          <w:rFonts w:cs="Calibri"/>
          <w:b/>
          <w:bCs/>
          <w:color w:val="272727"/>
        </w:rPr>
        <w:t>p</w:t>
      </w:r>
      <w:r w:rsidR="00D21DAB" w:rsidRPr="00850B1D">
        <w:rPr>
          <w:rFonts w:cs="Calibri"/>
          <w:b/>
          <w:bCs/>
          <w:color w:val="272727"/>
        </w:rPr>
        <w:t>ersonnel</w:t>
      </w:r>
    </w:p>
    <w:p w14:paraId="32CDB06D" w14:textId="77777777" w:rsidR="00E10C89" w:rsidRPr="00850B1D" w:rsidRDefault="00E10C89" w:rsidP="00E10C89">
      <w:pPr>
        <w:pStyle w:val="Paragraphedeliste"/>
        <w:shd w:val="clear" w:color="auto" w:fill="FFFFFF"/>
        <w:spacing w:after="0" w:line="240" w:lineRule="auto"/>
        <w:jc w:val="both"/>
        <w:rPr>
          <w:rFonts w:eastAsia="Times New Roman" w:cs="Arial"/>
          <w:b/>
          <w:bCs/>
          <w:lang w:eastAsia="fr-FR"/>
        </w:rPr>
      </w:pPr>
    </w:p>
    <w:p w14:paraId="23544D27" w14:textId="14884CE5" w:rsidR="00DB2F04" w:rsidRDefault="00F060B5" w:rsidP="0054319F">
      <w:pPr>
        <w:shd w:val="clear" w:color="auto" w:fill="FFFFFF"/>
        <w:spacing w:after="0"/>
        <w:jc w:val="both"/>
        <w:rPr>
          <w:rFonts w:ascii="Calibri" w:hAnsi="Calibri" w:cs="Calibri"/>
          <w:sz w:val="22"/>
          <w:szCs w:val="22"/>
          <w:lang w:eastAsia="nl-NL"/>
        </w:rPr>
      </w:pPr>
      <w:r>
        <w:rPr>
          <w:rFonts w:ascii="Calibri" w:hAnsi="Calibri" w:cs="Calibri"/>
          <w:sz w:val="22"/>
          <w:szCs w:val="22"/>
          <w:lang w:eastAsia="nl-NL"/>
        </w:rPr>
        <w:t xml:space="preserve">Les données à caractère </w:t>
      </w:r>
      <w:r w:rsidR="00F76B56">
        <w:rPr>
          <w:rFonts w:ascii="Calibri" w:hAnsi="Calibri" w:cs="Calibri"/>
          <w:sz w:val="22"/>
          <w:szCs w:val="22"/>
          <w:lang w:eastAsia="nl-NL"/>
        </w:rPr>
        <w:t>p</w:t>
      </w:r>
      <w:r>
        <w:rPr>
          <w:rFonts w:ascii="Calibri" w:hAnsi="Calibri" w:cs="Calibri"/>
          <w:sz w:val="22"/>
          <w:szCs w:val="22"/>
          <w:lang w:eastAsia="nl-NL"/>
        </w:rPr>
        <w:t>ersonnel transmises par le H3C au PCAOB ne peuvent être traitées directement par le PCAOB que pour les besoins de ses missions de régulateur de l’audit, conformément à la Loi Sarbanes-Oxley, à savoir la surveillance des auditeurs, les contrôles et les enquêtes relatives aux cabinets d'audit inscrits et aux personnes qui leur sont associées, qui relèvent de la compétence du PCAOB et du H3C.</w:t>
      </w:r>
    </w:p>
    <w:p w14:paraId="27D5C5A1" w14:textId="4F0B857B" w:rsidR="00847692" w:rsidRDefault="00847692" w:rsidP="0054319F">
      <w:pPr>
        <w:shd w:val="clear" w:color="auto" w:fill="FFFFFF"/>
        <w:spacing w:after="0"/>
        <w:jc w:val="both"/>
        <w:rPr>
          <w:rFonts w:ascii="Calibri" w:hAnsi="Calibri" w:cs="Calibri"/>
          <w:sz w:val="22"/>
          <w:szCs w:val="22"/>
          <w:lang w:eastAsia="nl-NL"/>
        </w:rPr>
      </w:pPr>
    </w:p>
    <w:p w14:paraId="080CB147" w14:textId="54A28F9D" w:rsidR="00847692" w:rsidRDefault="002527BA" w:rsidP="0054319F">
      <w:pPr>
        <w:shd w:val="clear" w:color="auto" w:fill="FFFFFF"/>
        <w:spacing w:after="0"/>
        <w:jc w:val="both"/>
        <w:rPr>
          <w:rFonts w:ascii="Calibri" w:hAnsi="Calibri" w:cs="Calibri"/>
          <w:sz w:val="22"/>
          <w:szCs w:val="22"/>
          <w:lang w:eastAsia="nl-NL"/>
        </w:rPr>
      </w:pPr>
      <w:r>
        <w:rPr>
          <w:rFonts w:ascii="Calibri" w:hAnsi="Calibri" w:cs="Calibri"/>
          <w:sz w:val="22"/>
          <w:szCs w:val="22"/>
          <w:lang w:eastAsia="nl-NL"/>
        </w:rPr>
        <w:t>Ainsi que cela est énoncé à l’article III.2. de l’Accord,</w:t>
      </w:r>
      <w:r w:rsidR="008D53F3">
        <w:rPr>
          <w:rFonts w:ascii="Calibri" w:hAnsi="Calibri" w:cs="Calibri"/>
          <w:sz w:val="22"/>
          <w:szCs w:val="22"/>
          <w:lang w:eastAsia="nl-NL"/>
        </w:rPr>
        <w:t xml:space="preserve"> </w:t>
      </w:r>
      <w:r>
        <w:rPr>
          <w:rFonts w:ascii="Calibri" w:hAnsi="Calibri" w:cs="Calibri"/>
          <w:sz w:val="22"/>
          <w:szCs w:val="22"/>
          <w:lang w:eastAsia="nl-NL"/>
        </w:rPr>
        <w:t>l</w:t>
      </w:r>
      <w:r w:rsidR="00847692">
        <w:rPr>
          <w:rFonts w:ascii="Calibri" w:hAnsi="Calibri" w:cs="Calibri"/>
          <w:sz w:val="22"/>
          <w:szCs w:val="22"/>
          <w:lang w:eastAsia="nl-NL"/>
        </w:rPr>
        <w:t xml:space="preserve">e PCAOB examine principalement les noms et les informations concernant les activités professionnelles des personnes physiques responsables ou ayant participé aux missions d’audit sélectionnées pour revue lors d’un contrôle ou d’une enquête, ou ayant un rôle important dans la gestion du cabinet d’audit ou son contrôle qualité. Ces informations sont susceptibles d’être utilisées par le PCAOB afin d’évaluer le niveau de respect par les cabinets d’audit inscrits et les personnes qui leur sont associées, de la Loi Sarbanes-Oxley, des législations sur les valeurs mobilières relatives à la préparation et à la publication des rapports d’audit, des règlements du PCAOB et de la </w:t>
      </w:r>
      <w:r w:rsidR="00E843CB">
        <w:rPr>
          <w:rFonts w:asciiTheme="minorHAnsi" w:eastAsia="Times New Roman" w:hAnsiTheme="minorHAnsi" w:cstheme="minorHAnsi"/>
          <w:sz w:val="22"/>
          <w:szCs w:val="22"/>
          <w:lang w:eastAsia="fr-FR"/>
        </w:rPr>
        <w:t>Securities and Exchange Commission des Etats-Unis</w:t>
      </w:r>
      <w:r w:rsidR="00E843CB">
        <w:rPr>
          <w:rFonts w:ascii="Calibri" w:hAnsi="Calibri" w:cs="Calibri"/>
          <w:sz w:val="22"/>
          <w:szCs w:val="22"/>
          <w:lang w:eastAsia="nl-NL"/>
        </w:rPr>
        <w:t xml:space="preserve"> (</w:t>
      </w:r>
      <w:r w:rsidR="00847692">
        <w:rPr>
          <w:rFonts w:ascii="Calibri" w:hAnsi="Calibri" w:cs="Calibri"/>
          <w:sz w:val="22"/>
          <w:szCs w:val="22"/>
          <w:lang w:eastAsia="nl-NL"/>
        </w:rPr>
        <w:t>SEC</w:t>
      </w:r>
      <w:r w:rsidR="00E843CB">
        <w:rPr>
          <w:rFonts w:ascii="Calibri" w:hAnsi="Calibri" w:cs="Calibri"/>
          <w:sz w:val="22"/>
          <w:szCs w:val="22"/>
          <w:lang w:eastAsia="nl-NL"/>
        </w:rPr>
        <w:t>)</w:t>
      </w:r>
      <w:r w:rsidR="00847692">
        <w:rPr>
          <w:rFonts w:ascii="Calibri" w:hAnsi="Calibri" w:cs="Calibri"/>
          <w:sz w:val="22"/>
          <w:szCs w:val="22"/>
          <w:lang w:eastAsia="nl-NL"/>
        </w:rPr>
        <w:t>, et des normes d’exercice professionnel applicables relatives à l’exécution de la mission d’audit, l’émission des rapports d’audit et les questions s’y rapportant concernant les émetteurs (telles que définies par la Loi Sarbanes-Oxley)</w:t>
      </w:r>
      <w:r w:rsidR="00560AE0">
        <w:rPr>
          <w:rFonts w:ascii="Calibri" w:hAnsi="Calibri" w:cs="Calibri"/>
          <w:sz w:val="22"/>
          <w:szCs w:val="22"/>
          <w:lang w:eastAsia="nl-NL"/>
        </w:rPr>
        <w:t>.</w:t>
      </w:r>
    </w:p>
    <w:p w14:paraId="21AB2B69" w14:textId="3EAD2300" w:rsidR="00793272" w:rsidRDefault="00793272" w:rsidP="0054319F">
      <w:pPr>
        <w:shd w:val="clear" w:color="auto" w:fill="FFFFFF"/>
        <w:spacing w:after="0"/>
        <w:jc w:val="both"/>
        <w:rPr>
          <w:rFonts w:ascii="Calibri" w:hAnsi="Calibri" w:cs="Calibri"/>
          <w:sz w:val="22"/>
          <w:szCs w:val="22"/>
          <w:lang w:eastAsia="nl-NL"/>
        </w:rPr>
      </w:pPr>
    </w:p>
    <w:p w14:paraId="13249843" w14:textId="6DAC096A" w:rsidR="00793272" w:rsidRDefault="00793272" w:rsidP="0054319F">
      <w:pPr>
        <w:shd w:val="clear" w:color="auto" w:fill="FFFFFF"/>
        <w:spacing w:after="0"/>
        <w:jc w:val="both"/>
        <w:rPr>
          <w:rFonts w:ascii="Calibri" w:hAnsi="Calibri" w:cs="Calibri"/>
          <w:sz w:val="22"/>
          <w:szCs w:val="22"/>
          <w:lang w:eastAsia="nl-NL"/>
        </w:rPr>
      </w:pPr>
      <w:r>
        <w:rPr>
          <w:rFonts w:ascii="Calibri" w:hAnsi="Calibri" w:cs="Calibri"/>
          <w:sz w:val="22"/>
          <w:szCs w:val="22"/>
          <w:lang w:eastAsia="nl-NL"/>
        </w:rPr>
        <w:t xml:space="preserve">Les modalités pratiques de transfert d’informations entre le H3C et le PCAOB sont </w:t>
      </w:r>
      <w:proofErr w:type="gramStart"/>
      <w:r>
        <w:rPr>
          <w:rFonts w:ascii="Calibri" w:hAnsi="Calibri" w:cs="Calibri"/>
          <w:sz w:val="22"/>
          <w:szCs w:val="22"/>
          <w:lang w:eastAsia="nl-NL"/>
        </w:rPr>
        <w:t>détaillées</w:t>
      </w:r>
      <w:proofErr w:type="gramEnd"/>
      <w:r>
        <w:rPr>
          <w:rFonts w:ascii="Calibri" w:hAnsi="Calibri" w:cs="Calibri"/>
          <w:sz w:val="22"/>
          <w:szCs w:val="22"/>
          <w:lang w:eastAsia="nl-NL"/>
        </w:rPr>
        <w:t xml:space="preserve"> à </w:t>
      </w:r>
      <w:r w:rsidR="00ED52FD">
        <w:rPr>
          <w:rFonts w:ascii="Calibri" w:hAnsi="Calibri" w:cs="Calibri"/>
          <w:sz w:val="22"/>
          <w:szCs w:val="22"/>
          <w:lang w:eastAsia="nl-NL"/>
        </w:rPr>
        <w:t>l’article III.B du Protocole</w:t>
      </w:r>
      <w:r w:rsidR="00544727">
        <w:rPr>
          <w:rFonts w:ascii="Calibri" w:hAnsi="Calibri" w:cs="Calibri"/>
          <w:sz w:val="22"/>
          <w:szCs w:val="22"/>
          <w:lang w:eastAsia="nl-NL"/>
        </w:rPr>
        <w:t>.</w:t>
      </w:r>
    </w:p>
    <w:p w14:paraId="7214917D" w14:textId="77777777" w:rsidR="00F76B56" w:rsidRDefault="00F76B56" w:rsidP="0054319F">
      <w:pPr>
        <w:shd w:val="clear" w:color="auto" w:fill="FFFFFF"/>
        <w:spacing w:after="0"/>
        <w:jc w:val="both"/>
        <w:rPr>
          <w:rFonts w:ascii="Calibri" w:hAnsi="Calibri" w:cs="Calibri"/>
          <w:sz w:val="22"/>
          <w:szCs w:val="22"/>
          <w:lang w:eastAsia="nl-NL"/>
        </w:rPr>
      </w:pPr>
    </w:p>
    <w:p w14:paraId="0DEC26B3" w14:textId="69F256E5" w:rsidR="00C05AF2" w:rsidRDefault="00C05AF2" w:rsidP="0054319F">
      <w:pPr>
        <w:shd w:val="clear" w:color="auto" w:fill="FFFFFF"/>
        <w:spacing w:after="0"/>
        <w:jc w:val="both"/>
        <w:rPr>
          <w:rFonts w:ascii="Calibri" w:hAnsi="Calibri" w:cs="Calibri"/>
          <w:sz w:val="22"/>
          <w:szCs w:val="22"/>
          <w:lang w:eastAsia="nl-NL"/>
        </w:rPr>
      </w:pPr>
      <w:r>
        <w:rPr>
          <w:rFonts w:ascii="Calibri" w:hAnsi="Calibri" w:cs="Calibri"/>
          <w:sz w:val="22"/>
          <w:szCs w:val="22"/>
          <w:lang w:eastAsia="nl-NL"/>
        </w:rPr>
        <w:lastRenderedPageBreak/>
        <w:t>L</w:t>
      </w:r>
      <w:r w:rsidR="000D0B82">
        <w:rPr>
          <w:rFonts w:ascii="Calibri" w:hAnsi="Calibri" w:cs="Calibri"/>
          <w:sz w:val="22"/>
          <w:szCs w:val="22"/>
          <w:lang w:eastAsia="nl-NL"/>
        </w:rPr>
        <w:t xml:space="preserve">e traitement des données </w:t>
      </w:r>
      <w:r w:rsidR="00F76B56">
        <w:rPr>
          <w:rFonts w:ascii="Calibri" w:hAnsi="Calibri" w:cs="Calibri"/>
          <w:sz w:val="22"/>
          <w:szCs w:val="22"/>
          <w:lang w:eastAsia="nl-NL"/>
        </w:rPr>
        <w:t xml:space="preserve">à caractère personnel </w:t>
      </w:r>
      <w:r w:rsidR="000D0B82">
        <w:rPr>
          <w:rFonts w:ascii="Calibri" w:hAnsi="Calibri" w:cs="Calibri"/>
          <w:sz w:val="22"/>
          <w:szCs w:val="22"/>
          <w:lang w:eastAsia="nl-NL"/>
        </w:rPr>
        <w:t xml:space="preserve">doit </w:t>
      </w:r>
      <w:r w:rsidR="007D320C">
        <w:rPr>
          <w:rFonts w:ascii="Calibri" w:hAnsi="Calibri" w:cs="Calibri"/>
          <w:sz w:val="22"/>
          <w:szCs w:val="22"/>
          <w:lang w:eastAsia="nl-NL"/>
        </w:rPr>
        <w:t>notamment</w:t>
      </w:r>
      <w:r w:rsidR="00BE0AA0">
        <w:rPr>
          <w:rFonts w:ascii="Calibri" w:hAnsi="Calibri" w:cs="Calibri"/>
          <w:sz w:val="22"/>
          <w:szCs w:val="22"/>
          <w:lang w:eastAsia="nl-NL"/>
        </w:rPr>
        <w:t xml:space="preserve"> </w:t>
      </w:r>
      <w:r w:rsidR="000D0B82">
        <w:rPr>
          <w:rFonts w:ascii="Calibri" w:hAnsi="Calibri" w:cs="Calibri"/>
          <w:sz w:val="22"/>
          <w:szCs w:val="22"/>
          <w:lang w:eastAsia="nl-NL"/>
        </w:rPr>
        <w:t>respecter les principes suivants</w:t>
      </w:r>
      <w:r w:rsidR="00C3567E">
        <w:rPr>
          <w:rFonts w:ascii="Calibri" w:hAnsi="Calibri" w:cs="Calibri"/>
          <w:sz w:val="22"/>
          <w:szCs w:val="22"/>
          <w:lang w:eastAsia="nl-NL"/>
        </w:rPr>
        <w:t xml:space="preserve">, </w:t>
      </w:r>
      <w:r w:rsidR="006667D2">
        <w:rPr>
          <w:rFonts w:ascii="Calibri" w:hAnsi="Calibri" w:cs="Calibri"/>
          <w:sz w:val="22"/>
          <w:szCs w:val="22"/>
          <w:lang w:eastAsia="nl-NL"/>
        </w:rPr>
        <w:t>plus amplement</w:t>
      </w:r>
      <w:r w:rsidR="00E843CB">
        <w:rPr>
          <w:rFonts w:ascii="Calibri" w:hAnsi="Calibri" w:cs="Calibri"/>
          <w:sz w:val="22"/>
          <w:szCs w:val="22"/>
          <w:lang w:eastAsia="nl-NL"/>
        </w:rPr>
        <w:t xml:space="preserve"> </w:t>
      </w:r>
      <w:r w:rsidR="00C3567E">
        <w:rPr>
          <w:rFonts w:ascii="Calibri" w:hAnsi="Calibri" w:cs="Calibri"/>
          <w:sz w:val="22"/>
          <w:szCs w:val="22"/>
          <w:lang w:eastAsia="nl-NL"/>
        </w:rPr>
        <w:t>décrits à l’A</w:t>
      </w:r>
      <w:r w:rsidR="00EE44A9">
        <w:rPr>
          <w:rFonts w:ascii="Calibri" w:hAnsi="Calibri" w:cs="Calibri"/>
          <w:sz w:val="22"/>
          <w:szCs w:val="22"/>
          <w:lang w:eastAsia="nl-NL"/>
        </w:rPr>
        <w:t>rticle I</w:t>
      </w:r>
      <w:r w:rsidR="00F76B56">
        <w:rPr>
          <w:rFonts w:ascii="Calibri" w:hAnsi="Calibri" w:cs="Calibri"/>
          <w:sz w:val="22"/>
          <w:szCs w:val="22"/>
          <w:lang w:eastAsia="nl-NL"/>
        </w:rPr>
        <w:t>II</w:t>
      </w:r>
      <w:r w:rsidR="00EE44A9">
        <w:rPr>
          <w:rFonts w:ascii="Calibri" w:hAnsi="Calibri" w:cs="Calibri"/>
          <w:sz w:val="22"/>
          <w:szCs w:val="22"/>
          <w:lang w:eastAsia="nl-NL"/>
        </w:rPr>
        <w:t xml:space="preserve"> de l’</w:t>
      </w:r>
      <w:r w:rsidR="00E73223">
        <w:rPr>
          <w:rFonts w:ascii="Calibri" w:hAnsi="Calibri" w:cs="Calibri"/>
          <w:sz w:val="22"/>
          <w:szCs w:val="22"/>
          <w:lang w:eastAsia="nl-NL"/>
        </w:rPr>
        <w:t>A</w:t>
      </w:r>
      <w:r w:rsidR="00EE44A9">
        <w:rPr>
          <w:rFonts w:ascii="Calibri" w:hAnsi="Calibri" w:cs="Calibri"/>
          <w:sz w:val="22"/>
          <w:szCs w:val="22"/>
          <w:lang w:eastAsia="nl-NL"/>
        </w:rPr>
        <w:t>ccord</w:t>
      </w:r>
      <w:r w:rsidR="000D0B82">
        <w:rPr>
          <w:rFonts w:ascii="Calibri" w:hAnsi="Calibri" w:cs="Calibri"/>
          <w:sz w:val="22"/>
          <w:szCs w:val="22"/>
          <w:lang w:eastAsia="nl-NL"/>
        </w:rPr>
        <w:t> :</w:t>
      </w:r>
    </w:p>
    <w:p w14:paraId="5FFEA0DD" w14:textId="5B83A734" w:rsidR="00B5798E" w:rsidRDefault="00B5798E" w:rsidP="0054319F">
      <w:pPr>
        <w:pStyle w:val="Paragraphedeliste"/>
        <w:numPr>
          <w:ilvl w:val="0"/>
          <w:numId w:val="15"/>
        </w:numPr>
        <w:shd w:val="clear" w:color="auto" w:fill="FFFFFF"/>
        <w:spacing w:after="450" w:line="240" w:lineRule="auto"/>
        <w:jc w:val="both"/>
        <w:rPr>
          <w:rFonts w:eastAsia="Times New Roman" w:cs="Arial"/>
          <w:lang w:eastAsia="fr-FR"/>
        </w:rPr>
      </w:pPr>
      <w:r>
        <w:rPr>
          <w:rFonts w:eastAsia="Times New Roman" w:cs="Arial"/>
          <w:lang w:eastAsia="fr-FR"/>
        </w:rPr>
        <w:t>limitation des finalités</w:t>
      </w:r>
      <w:r w:rsidR="00BF625D">
        <w:rPr>
          <w:rFonts w:eastAsia="Times New Roman" w:cs="Arial"/>
          <w:lang w:eastAsia="fr-FR"/>
        </w:rPr>
        <w:t> ;</w:t>
      </w:r>
    </w:p>
    <w:p w14:paraId="0C77E4E6" w14:textId="5C2B3DD9" w:rsidR="00B5798E" w:rsidRDefault="00C3567E" w:rsidP="0054319F">
      <w:pPr>
        <w:pStyle w:val="Paragraphedeliste"/>
        <w:numPr>
          <w:ilvl w:val="0"/>
          <w:numId w:val="15"/>
        </w:numPr>
        <w:shd w:val="clear" w:color="auto" w:fill="FFFFFF"/>
        <w:spacing w:after="450" w:line="240" w:lineRule="auto"/>
        <w:jc w:val="both"/>
        <w:rPr>
          <w:rFonts w:eastAsia="Times New Roman" w:cs="Arial"/>
          <w:lang w:eastAsia="fr-FR"/>
        </w:rPr>
      </w:pPr>
      <w:r>
        <w:rPr>
          <w:rFonts w:eastAsia="Times New Roman" w:cs="Arial"/>
          <w:lang w:eastAsia="fr-FR"/>
        </w:rPr>
        <w:t>q</w:t>
      </w:r>
      <w:r w:rsidR="00B5798E">
        <w:rPr>
          <w:rFonts w:eastAsia="Times New Roman" w:cs="Arial"/>
          <w:lang w:eastAsia="fr-FR"/>
        </w:rPr>
        <w:t>ualité et proportionnalité des données</w:t>
      </w:r>
      <w:r w:rsidR="00BF625D">
        <w:rPr>
          <w:rFonts w:eastAsia="Times New Roman" w:cs="Arial"/>
          <w:lang w:eastAsia="fr-FR"/>
        </w:rPr>
        <w:t> ;</w:t>
      </w:r>
    </w:p>
    <w:p w14:paraId="50314908" w14:textId="19EBB671" w:rsidR="005B0AAC" w:rsidRDefault="00C3567E" w:rsidP="0054319F">
      <w:pPr>
        <w:pStyle w:val="Paragraphedeliste"/>
        <w:numPr>
          <w:ilvl w:val="0"/>
          <w:numId w:val="15"/>
        </w:numPr>
        <w:shd w:val="clear" w:color="auto" w:fill="FFFFFF"/>
        <w:spacing w:after="0" w:line="240" w:lineRule="auto"/>
        <w:jc w:val="both"/>
        <w:rPr>
          <w:rFonts w:eastAsia="Times New Roman" w:cs="Arial"/>
          <w:lang w:eastAsia="fr-FR"/>
        </w:rPr>
      </w:pPr>
      <w:r>
        <w:rPr>
          <w:rFonts w:eastAsia="Times New Roman" w:cs="Arial"/>
          <w:lang w:eastAsia="fr-FR"/>
        </w:rPr>
        <w:t>transparence</w:t>
      </w:r>
      <w:r w:rsidR="00471A1D">
        <w:rPr>
          <w:rFonts w:eastAsia="Times New Roman" w:cs="Arial"/>
          <w:lang w:eastAsia="fr-FR"/>
        </w:rPr>
        <w:t> ;</w:t>
      </w:r>
    </w:p>
    <w:p w14:paraId="02C2C7CC" w14:textId="7E6D41FD" w:rsidR="00065A58" w:rsidRDefault="00065A58" w:rsidP="0054319F">
      <w:pPr>
        <w:pStyle w:val="Paragraphedeliste"/>
        <w:numPr>
          <w:ilvl w:val="0"/>
          <w:numId w:val="15"/>
        </w:numPr>
        <w:shd w:val="clear" w:color="auto" w:fill="FFFFFF"/>
        <w:spacing w:after="0" w:line="240" w:lineRule="auto"/>
        <w:jc w:val="both"/>
        <w:rPr>
          <w:rFonts w:eastAsia="Times New Roman" w:cs="Arial"/>
          <w:lang w:eastAsia="fr-FR"/>
        </w:rPr>
      </w:pPr>
      <w:r>
        <w:rPr>
          <w:rFonts w:eastAsia="Times New Roman" w:cs="Arial"/>
          <w:lang w:eastAsia="fr-FR"/>
        </w:rPr>
        <w:t>sécurité et confidentialité.</w:t>
      </w:r>
    </w:p>
    <w:p w14:paraId="1BD25054" w14:textId="77777777" w:rsidR="00065A58" w:rsidRDefault="00065A58" w:rsidP="0054319F">
      <w:pPr>
        <w:shd w:val="clear" w:color="auto" w:fill="FFFFFF"/>
        <w:spacing w:after="0"/>
        <w:jc w:val="both"/>
        <w:rPr>
          <w:rFonts w:eastAsia="Times New Roman" w:cs="Arial"/>
          <w:lang w:eastAsia="fr-FR"/>
        </w:rPr>
      </w:pPr>
    </w:p>
    <w:p w14:paraId="047D0A4C" w14:textId="3A21F66A" w:rsidR="00544727" w:rsidRPr="003C6311" w:rsidRDefault="00065A58" w:rsidP="0054319F">
      <w:pPr>
        <w:shd w:val="clear" w:color="auto" w:fill="FFFFFF"/>
        <w:spacing w:after="0"/>
        <w:jc w:val="both"/>
        <w:rPr>
          <w:rFonts w:asciiTheme="minorHAnsi" w:eastAsia="Times New Roman" w:hAnsiTheme="minorHAnsi" w:cs="Arial"/>
          <w:sz w:val="22"/>
          <w:szCs w:val="22"/>
          <w:lang w:eastAsia="fr-FR"/>
        </w:rPr>
      </w:pPr>
      <w:r w:rsidRPr="003C6311">
        <w:rPr>
          <w:rFonts w:asciiTheme="minorHAnsi" w:eastAsia="Times New Roman" w:hAnsiTheme="minorHAnsi" w:cs="Arial"/>
          <w:sz w:val="22"/>
          <w:szCs w:val="22"/>
          <w:lang w:eastAsia="fr-FR"/>
        </w:rPr>
        <w:t>L’</w:t>
      </w:r>
      <w:r w:rsidR="003C6311" w:rsidRPr="003C6311">
        <w:rPr>
          <w:rFonts w:asciiTheme="minorHAnsi" w:eastAsia="Times New Roman" w:hAnsiTheme="minorHAnsi" w:cs="Arial"/>
          <w:sz w:val="22"/>
          <w:szCs w:val="22"/>
          <w:lang w:eastAsia="fr-FR"/>
        </w:rPr>
        <w:t>A</w:t>
      </w:r>
      <w:r w:rsidRPr="003C6311">
        <w:rPr>
          <w:rFonts w:asciiTheme="minorHAnsi" w:eastAsia="Times New Roman" w:hAnsiTheme="minorHAnsi" w:cs="Arial"/>
          <w:sz w:val="22"/>
          <w:szCs w:val="22"/>
          <w:lang w:eastAsia="fr-FR"/>
        </w:rPr>
        <w:t xml:space="preserve">ccord prévoit par ailleurs </w:t>
      </w:r>
      <w:r w:rsidR="0048760D" w:rsidRPr="003C6311">
        <w:rPr>
          <w:rFonts w:asciiTheme="minorHAnsi" w:eastAsia="Times New Roman" w:hAnsiTheme="minorHAnsi" w:cs="Arial"/>
          <w:sz w:val="22"/>
          <w:szCs w:val="22"/>
          <w:lang w:eastAsia="fr-FR"/>
        </w:rPr>
        <w:t>qu’aucun</w:t>
      </w:r>
      <w:r w:rsidR="005C35E0">
        <w:rPr>
          <w:rFonts w:asciiTheme="minorHAnsi" w:eastAsia="Times New Roman" w:hAnsiTheme="minorHAnsi" w:cs="Arial"/>
          <w:sz w:val="22"/>
          <w:szCs w:val="22"/>
          <w:lang w:eastAsia="fr-FR"/>
        </w:rPr>
        <w:t>e</w:t>
      </w:r>
      <w:r w:rsidR="00875A6B" w:rsidRPr="003C6311">
        <w:rPr>
          <w:rFonts w:asciiTheme="minorHAnsi" w:eastAsia="Times New Roman" w:hAnsiTheme="minorHAnsi" w:cs="Arial"/>
          <w:sz w:val="22"/>
          <w:szCs w:val="22"/>
          <w:lang w:eastAsia="fr-FR"/>
        </w:rPr>
        <w:t xml:space="preserve"> </w:t>
      </w:r>
      <w:r w:rsidR="002E15FF" w:rsidRPr="003C6311">
        <w:rPr>
          <w:rFonts w:asciiTheme="minorHAnsi" w:eastAsia="Times New Roman" w:hAnsiTheme="minorHAnsi" w:cstheme="minorHAnsi"/>
          <w:sz w:val="22"/>
          <w:szCs w:val="22"/>
          <w:lang w:eastAsia="fr-FR"/>
        </w:rPr>
        <w:t xml:space="preserve">donnée sensible </w:t>
      </w:r>
      <w:r w:rsidR="009E767F" w:rsidRPr="003C6311">
        <w:rPr>
          <w:rFonts w:asciiTheme="minorHAnsi" w:eastAsia="Times New Roman" w:hAnsiTheme="minorHAnsi" w:cstheme="minorHAnsi"/>
          <w:sz w:val="22"/>
          <w:szCs w:val="22"/>
          <w:lang w:eastAsia="fr-FR"/>
        </w:rPr>
        <w:t>(au sens du RGPD)</w:t>
      </w:r>
      <w:r w:rsidR="0048760D" w:rsidRPr="003C6311">
        <w:rPr>
          <w:rFonts w:asciiTheme="minorHAnsi" w:eastAsia="Times New Roman" w:hAnsiTheme="minorHAnsi" w:cstheme="minorHAnsi"/>
          <w:sz w:val="22"/>
          <w:szCs w:val="22"/>
          <w:lang w:eastAsia="fr-FR"/>
        </w:rPr>
        <w:t xml:space="preserve"> ne sera traitée par le PC</w:t>
      </w:r>
      <w:r w:rsidR="00E843CB">
        <w:rPr>
          <w:rFonts w:asciiTheme="minorHAnsi" w:eastAsia="Times New Roman" w:hAnsiTheme="minorHAnsi" w:cstheme="minorHAnsi"/>
          <w:sz w:val="22"/>
          <w:szCs w:val="22"/>
          <w:lang w:eastAsia="fr-FR"/>
        </w:rPr>
        <w:t>A</w:t>
      </w:r>
      <w:r w:rsidR="0048760D" w:rsidRPr="003C6311">
        <w:rPr>
          <w:rFonts w:asciiTheme="minorHAnsi" w:eastAsia="Times New Roman" w:hAnsiTheme="minorHAnsi" w:cstheme="minorHAnsi"/>
          <w:sz w:val="22"/>
          <w:szCs w:val="22"/>
          <w:lang w:eastAsia="fr-FR"/>
        </w:rPr>
        <w:t>O</w:t>
      </w:r>
      <w:r w:rsidR="003C6311" w:rsidRPr="003C6311">
        <w:rPr>
          <w:rFonts w:asciiTheme="minorHAnsi" w:eastAsia="Times New Roman" w:hAnsiTheme="minorHAnsi" w:cstheme="minorHAnsi"/>
          <w:sz w:val="22"/>
          <w:szCs w:val="22"/>
          <w:lang w:eastAsia="fr-FR"/>
        </w:rPr>
        <w:t>B. Enfin le PCAOB</w:t>
      </w:r>
      <w:r w:rsidR="004722F0" w:rsidRPr="003C6311">
        <w:rPr>
          <w:rFonts w:asciiTheme="minorHAnsi" w:eastAsia="Times New Roman" w:hAnsiTheme="minorHAnsi" w:cstheme="minorHAnsi"/>
          <w:sz w:val="22"/>
          <w:szCs w:val="22"/>
          <w:lang w:eastAsia="fr-FR"/>
        </w:rPr>
        <w:t xml:space="preserve"> ne</w:t>
      </w:r>
      <w:r w:rsidR="0047603D" w:rsidRPr="003C6311">
        <w:rPr>
          <w:rFonts w:asciiTheme="minorHAnsi" w:eastAsia="Times New Roman" w:hAnsiTheme="minorHAnsi" w:cstheme="minorHAnsi"/>
          <w:sz w:val="22"/>
          <w:szCs w:val="22"/>
          <w:lang w:eastAsia="fr-FR"/>
        </w:rPr>
        <w:t xml:space="preserve"> prendr</w:t>
      </w:r>
      <w:r w:rsidR="003C6311" w:rsidRPr="003C6311">
        <w:rPr>
          <w:rFonts w:asciiTheme="minorHAnsi" w:eastAsia="Times New Roman" w:hAnsiTheme="minorHAnsi" w:cstheme="minorHAnsi"/>
          <w:sz w:val="22"/>
          <w:szCs w:val="22"/>
          <w:lang w:eastAsia="fr-FR"/>
        </w:rPr>
        <w:t>a</w:t>
      </w:r>
      <w:r w:rsidR="0047603D" w:rsidRPr="003C6311">
        <w:rPr>
          <w:rFonts w:asciiTheme="minorHAnsi" w:eastAsia="Times New Roman" w:hAnsiTheme="minorHAnsi" w:cstheme="minorHAnsi"/>
          <w:sz w:val="22"/>
          <w:szCs w:val="22"/>
          <w:lang w:eastAsia="fr-FR"/>
        </w:rPr>
        <w:t xml:space="preserve"> aucune </w:t>
      </w:r>
      <w:r w:rsidR="00F01263" w:rsidRPr="003C6311">
        <w:rPr>
          <w:rFonts w:asciiTheme="minorHAnsi" w:eastAsia="Times New Roman" w:hAnsiTheme="minorHAnsi" w:cstheme="minorHAnsi"/>
          <w:sz w:val="22"/>
          <w:szCs w:val="22"/>
          <w:lang w:eastAsia="fr-FR"/>
        </w:rPr>
        <w:t>décision juridique qui serait fondée uniquement sur un traitement automatisé de</w:t>
      </w:r>
      <w:r w:rsidR="0033285D" w:rsidRPr="003C6311">
        <w:rPr>
          <w:rFonts w:asciiTheme="minorHAnsi" w:eastAsia="Times New Roman" w:hAnsiTheme="minorHAnsi" w:cstheme="minorHAnsi"/>
          <w:sz w:val="22"/>
          <w:szCs w:val="22"/>
          <w:lang w:eastAsia="fr-FR"/>
        </w:rPr>
        <w:t xml:space="preserve"> données à caractère personnel, y compris le profilage</w:t>
      </w:r>
      <w:r w:rsidR="004722F0" w:rsidRPr="003C6311">
        <w:rPr>
          <w:rFonts w:asciiTheme="minorHAnsi" w:eastAsia="Times New Roman" w:hAnsiTheme="minorHAnsi" w:cstheme="minorHAnsi"/>
          <w:sz w:val="22"/>
          <w:szCs w:val="22"/>
          <w:lang w:eastAsia="fr-FR"/>
        </w:rPr>
        <w:t>.</w:t>
      </w:r>
    </w:p>
    <w:p w14:paraId="3458A853" w14:textId="77777777" w:rsidR="006C1CAD" w:rsidRPr="00875A6B" w:rsidRDefault="006C1CAD" w:rsidP="0054319F">
      <w:pPr>
        <w:pStyle w:val="Paragraphedeliste"/>
        <w:shd w:val="clear" w:color="auto" w:fill="FFFFFF"/>
        <w:spacing w:after="0" w:line="240" w:lineRule="auto"/>
        <w:jc w:val="both"/>
        <w:rPr>
          <w:rFonts w:eastAsia="Times New Roman" w:cs="Arial"/>
          <w:lang w:eastAsia="fr-FR"/>
        </w:rPr>
      </w:pPr>
    </w:p>
    <w:p w14:paraId="3265D770" w14:textId="5D27351A" w:rsidR="00544727" w:rsidRPr="004675EF" w:rsidRDefault="004675EF" w:rsidP="0054319F">
      <w:pPr>
        <w:pStyle w:val="Paragraphedeliste"/>
        <w:numPr>
          <w:ilvl w:val="0"/>
          <w:numId w:val="13"/>
        </w:numPr>
        <w:shd w:val="clear" w:color="auto" w:fill="FFFFFF"/>
        <w:spacing w:after="0" w:line="240" w:lineRule="auto"/>
        <w:jc w:val="both"/>
        <w:rPr>
          <w:rFonts w:eastAsia="Times New Roman" w:cs="Arial"/>
          <w:b/>
          <w:bCs/>
          <w:lang w:eastAsia="fr-FR"/>
        </w:rPr>
      </w:pPr>
      <w:r>
        <w:rPr>
          <w:rFonts w:cs="Calibri"/>
          <w:b/>
          <w:bCs/>
          <w:color w:val="272727"/>
        </w:rPr>
        <w:t>T</w:t>
      </w:r>
      <w:r w:rsidR="00793BED" w:rsidRPr="004675EF">
        <w:rPr>
          <w:rFonts w:cs="Calibri"/>
          <w:b/>
          <w:bCs/>
          <w:color w:val="272727"/>
        </w:rPr>
        <w:t xml:space="preserve">ype d’entités auxquelles ces </w:t>
      </w:r>
      <w:r w:rsidR="00FB6460" w:rsidRPr="004675EF">
        <w:rPr>
          <w:rFonts w:cs="Calibri"/>
          <w:b/>
          <w:bCs/>
          <w:color w:val="272727"/>
        </w:rPr>
        <w:t>d</w:t>
      </w:r>
      <w:r w:rsidR="00793BED" w:rsidRPr="004675EF">
        <w:rPr>
          <w:rFonts w:cs="Calibri"/>
          <w:b/>
          <w:bCs/>
          <w:color w:val="272727"/>
        </w:rPr>
        <w:t xml:space="preserve">onnées à </w:t>
      </w:r>
      <w:r w:rsidR="00FB6460" w:rsidRPr="004675EF">
        <w:rPr>
          <w:rFonts w:cs="Calibri"/>
          <w:b/>
          <w:bCs/>
          <w:color w:val="272727"/>
        </w:rPr>
        <w:t>c</w:t>
      </w:r>
      <w:r w:rsidR="00793BED" w:rsidRPr="004675EF">
        <w:rPr>
          <w:rFonts w:cs="Calibri"/>
          <w:b/>
          <w:bCs/>
          <w:color w:val="272727"/>
        </w:rPr>
        <w:t xml:space="preserve">aractère </w:t>
      </w:r>
      <w:r w:rsidR="00FB6460" w:rsidRPr="004675EF">
        <w:rPr>
          <w:rFonts w:cs="Calibri"/>
          <w:b/>
          <w:bCs/>
          <w:color w:val="272727"/>
        </w:rPr>
        <w:t>p</w:t>
      </w:r>
      <w:r w:rsidR="00793BED" w:rsidRPr="004675EF">
        <w:rPr>
          <w:rFonts w:cs="Calibri"/>
          <w:b/>
          <w:bCs/>
          <w:color w:val="272727"/>
        </w:rPr>
        <w:t>ersonnel peuvent être transférées</w:t>
      </w:r>
    </w:p>
    <w:p w14:paraId="05C9E7A1" w14:textId="3C7AC0BB" w:rsidR="00EF25BC" w:rsidRPr="00B32CE2" w:rsidRDefault="00FB6460" w:rsidP="0054319F">
      <w:pPr>
        <w:shd w:val="clear" w:color="auto" w:fill="FFFFFF"/>
        <w:spacing w:after="100" w:afterAutospacing="1"/>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 xml:space="preserve">Les modalités de </w:t>
      </w:r>
      <w:r w:rsidR="00627573">
        <w:rPr>
          <w:rFonts w:asciiTheme="minorHAnsi" w:eastAsia="Times New Roman" w:hAnsiTheme="minorHAnsi" w:cstheme="minorHAnsi"/>
          <w:sz w:val="22"/>
          <w:szCs w:val="22"/>
          <w:lang w:eastAsia="fr-FR"/>
        </w:rPr>
        <w:t>partage</w:t>
      </w:r>
      <w:r>
        <w:rPr>
          <w:rFonts w:asciiTheme="minorHAnsi" w:eastAsia="Times New Roman" w:hAnsiTheme="minorHAnsi" w:cstheme="minorHAnsi"/>
          <w:sz w:val="22"/>
          <w:szCs w:val="22"/>
          <w:lang w:eastAsia="fr-FR"/>
        </w:rPr>
        <w:t xml:space="preserve"> ultérieur des données </w:t>
      </w:r>
      <w:r w:rsidR="004675EF">
        <w:rPr>
          <w:rFonts w:asciiTheme="minorHAnsi" w:eastAsia="Times New Roman" w:hAnsiTheme="minorHAnsi" w:cstheme="minorHAnsi"/>
          <w:sz w:val="22"/>
          <w:szCs w:val="22"/>
          <w:lang w:eastAsia="fr-FR"/>
        </w:rPr>
        <w:t xml:space="preserve">transférées par le H3C au PCAOB </w:t>
      </w:r>
      <w:r>
        <w:rPr>
          <w:rFonts w:asciiTheme="minorHAnsi" w:eastAsia="Times New Roman" w:hAnsiTheme="minorHAnsi" w:cstheme="minorHAnsi"/>
          <w:sz w:val="22"/>
          <w:szCs w:val="22"/>
          <w:lang w:eastAsia="fr-FR"/>
        </w:rPr>
        <w:t>sont détaillées à l’</w:t>
      </w:r>
      <w:r w:rsidR="00494A71">
        <w:rPr>
          <w:rFonts w:asciiTheme="minorHAnsi" w:eastAsia="Times New Roman" w:hAnsiTheme="minorHAnsi" w:cstheme="minorHAnsi"/>
          <w:sz w:val="22"/>
          <w:szCs w:val="22"/>
          <w:lang w:eastAsia="fr-FR"/>
        </w:rPr>
        <w:t>A</w:t>
      </w:r>
      <w:r>
        <w:rPr>
          <w:rFonts w:asciiTheme="minorHAnsi" w:eastAsia="Times New Roman" w:hAnsiTheme="minorHAnsi" w:cstheme="minorHAnsi"/>
          <w:sz w:val="22"/>
          <w:szCs w:val="22"/>
          <w:lang w:eastAsia="fr-FR"/>
        </w:rPr>
        <w:t>rticle</w:t>
      </w:r>
      <w:r w:rsidR="00494A71">
        <w:rPr>
          <w:rFonts w:asciiTheme="minorHAnsi" w:eastAsia="Times New Roman" w:hAnsiTheme="minorHAnsi" w:cstheme="minorHAnsi"/>
          <w:sz w:val="22"/>
          <w:szCs w:val="22"/>
          <w:lang w:eastAsia="fr-FR"/>
        </w:rPr>
        <w:t xml:space="preserve"> III</w:t>
      </w:r>
      <w:r w:rsidR="00A53B82">
        <w:rPr>
          <w:rFonts w:asciiTheme="minorHAnsi" w:eastAsia="Times New Roman" w:hAnsiTheme="minorHAnsi" w:cstheme="minorHAnsi"/>
          <w:sz w:val="22"/>
          <w:szCs w:val="22"/>
          <w:lang w:eastAsia="fr-FR"/>
        </w:rPr>
        <w:t>.7 de l’Accord.</w:t>
      </w:r>
      <w:r w:rsidR="00494A71">
        <w:rPr>
          <w:rFonts w:asciiTheme="minorHAnsi" w:eastAsia="Times New Roman" w:hAnsiTheme="minorHAnsi" w:cstheme="minorHAnsi"/>
          <w:sz w:val="22"/>
          <w:szCs w:val="22"/>
          <w:lang w:eastAsia="fr-FR"/>
        </w:rPr>
        <w:t xml:space="preserve"> </w:t>
      </w:r>
      <w:r w:rsidR="00EF25BC" w:rsidRPr="00B32CE2">
        <w:rPr>
          <w:rFonts w:asciiTheme="minorHAnsi" w:eastAsia="Times New Roman" w:hAnsiTheme="minorHAnsi" w:cstheme="minorHAnsi"/>
          <w:sz w:val="22"/>
          <w:szCs w:val="22"/>
          <w:lang w:eastAsia="fr-FR"/>
        </w:rPr>
        <w:t>Le PCAOB ne p</w:t>
      </w:r>
      <w:r w:rsidR="004F0AA9" w:rsidRPr="00B32CE2">
        <w:rPr>
          <w:rFonts w:asciiTheme="minorHAnsi" w:eastAsia="Times New Roman" w:hAnsiTheme="minorHAnsi" w:cstheme="minorHAnsi"/>
          <w:sz w:val="22"/>
          <w:szCs w:val="22"/>
          <w:lang w:eastAsia="fr-FR"/>
        </w:rPr>
        <w:t>eut partager</w:t>
      </w:r>
      <w:r w:rsidR="00EF25BC" w:rsidRPr="00B32CE2">
        <w:rPr>
          <w:rFonts w:asciiTheme="minorHAnsi" w:eastAsia="Times New Roman" w:hAnsiTheme="minorHAnsi" w:cstheme="minorHAnsi"/>
          <w:sz w:val="22"/>
          <w:szCs w:val="22"/>
          <w:lang w:eastAsia="fr-FR"/>
        </w:rPr>
        <w:t xml:space="preserve"> les données </w:t>
      </w:r>
      <w:r w:rsidR="00627573">
        <w:rPr>
          <w:rFonts w:asciiTheme="minorHAnsi" w:eastAsia="Times New Roman" w:hAnsiTheme="minorHAnsi" w:cstheme="minorHAnsi"/>
          <w:sz w:val="22"/>
          <w:szCs w:val="22"/>
          <w:lang w:eastAsia="fr-FR"/>
        </w:rPr>
        <w:t xml:space="preserve">reçues du H3C </w:t>
      </w:r>
      <w:r w:rsidR="00EF25BC" w:rsidRPr="00B32CE2">
        <w:rPr>
          <w:rFonts w:asciiTheme="minorHAnsi" w:eastAsia="Times New Roman" w:hAnsiTheme="minorHAnsi" w:cstheme="minorHAnsi"/>
          <w:sz w:val="22"/>
          <w:szCs w:val="22"/>
          <w:lang w:eastAsia="fr-FR"/>
        </w:rPr>
        <w:t xml:space="preserve">qu’avec les entités limitativement énumérées </w:t>
      </w:r>
      <w:r w:rsidR="00F95E42">
        <w:rPr>
          <w:rFonts w:asciiTheme="minorHAnsi" w:eastAsia="Times New Roman" w:hAnsiTheme="minorHAnsi" w:cstheme="minorHAnsi"/>
          <w:sz w:val="22"/>
          <w:szCs w:val="22"/>
          <w:lang w:eastAsia="fr-FR"/>
        </w:rPr>
        <w:t>à l’Annexe</w:t>
      </w:r>
      <w:r w:rsidR="00EF25BC" w:rsidRPr="00B32CE2">
        <w:rPr>
          <w:rFonts w:asciiTheme="minorHAnsi" w:eastAsia="Times New Roman" w:hAnsiTheme="minorHAnsi" w:cstheme="minorHAnsi"/>
          <w:sz w:val="22"/>
          <w:szCs w:val="22"/>
          <w:lang w:eastAsia="fr-FR"/>
        </w:rPr>
        <w:t xml:space="preserve"> II de l’Accord. </w:t>
      </w:r>
      <w:r w:rsidR="00FA345F">
        <w:rPr>
          <w:rFonts w:asciiTheme="minorHAnsi" w:eastAsia="Times New Roman" w:hAnsiTheme="minorHAnsi" w:cstheme="minorHAnsi"/>
          <w:sz w:val="22"/>
          <w:szCs w:val="22"/>
          <w:lang w:eastAsia="fr-FR"/>
        </w:rPr>
        <w:t>Un tel</w:t>
      </w:r>
      <w:r w:rsidR="00097DE6">
        <w:rPr>
          <w:rFonts w:asciiTheme="minorHAnsi" w:eastAsia="Times New Roman" w:hAnsiTheme="minorHAnsi" w:cstheme="minorHAnsi"/>
          <w:sz w:val="22"/>
          <w:szCs w:val="22"/>
          <w:lang w:eastAsia="fr-FR"/>
        </w:rPr>
        <w:t xml:space="preserve"> </w:t>
      </w:r>
      <w:r w:rsidR="00751719">
        <w:rPr>
          <w:rFonts w:asciiTheme="minorHAnsi" w:eastAsia="Times New Roman" w:hAnsiTheme="minorHAnsi" w:cstheme="minorHAnsi"/>
          <w:sz w:val="22"/>
          <w:szCs w:val="22"/>
          <w:lang w:eastAsia="fr-FR"/>
        </w:rPr>
        <w:t>partage</w:t>
      </w:r>
      <w:r w:rsidR="00097DE6">
        <w:rPr>
          <w:rFonts w:asciiTheme="minorHAnsi" w:eastAsia="Times New Roman" w:hAnsiTheme="minorHAnsi" w:cstheme="minorHAnsi"/>
          <w:sz w:val="22"/>
          <w:szCs w:val="22"/>
          <w:lang w:eastAsia="fr-FR"/>
        </w:rPr>
        <w:t xml:space="preserve"> ne peut avoir lieu que sous </w:t>
      </w:r>
      <w:r w:rsidR="0018541D">
        <w:rPr>
          <w:rFonts w:asciiTheme="minorHAnsi" w:eastAsia="Times New Roman" w:hAnsiTheme="minorHAnsi" w:cstheme="minorHAnsi"/>
          <w:sz w:val="22"/>
          <w:szCs w:val="22"/>
          <w:lang w:eastAsia="fr-FR"/>
        </w:rPr>
        <w:t xml:space="preserve">la </w:t>
      </w:r>
      <w:r w:rsidR="00097DE6">
        <w:rPr>
          <w:rFonts w:asciiTheme="minorHAnsi" w:eastAsia="Times New Roman" w:hAnsiTheme="minorHAnsi" w:cstheme="minorHAnsi"/>
          <w:sz w:val="22"/>
          <w:szCs w:val="22"/>
          <w:lang w:eastAsia="fr-FR"/>
        </w:rPr>
        <w:t>condition que l</w:t>
      </w:r>
      <w:r w:rsidR="00FA0224">
        <w:rPr>
          <w:rFonts w:asciiTheme="minorHAnsi" w:eastAsia="Times New Roman" w:hAnsiTheme="minorHAnsi" w:cstheme="minorHAnsi"/>
          <w:sz w:val="22"/>
          <w:szCs w:val="22"/>
          <w:lang w:eastAsia="fr-FR"/>
        </w:rPr>
        <w:t xml:space="preserve">’entité </w:t>
      </w:r>
      <w:r w:rsidR="00097DE6">
        <w:rPr>
          <w:rFonts w:asciiTheme="minorHAnsi" w:eastAsia="Times New Roman" w:hAnsiTheme="minorHAnsi" w:cstheme="minorHAnsi"/>
          <w:sz w:val="22"/>
          <w:szCs w:val="22"/>
          <w:lang w:eastAsia="fr-FR"/>
        </w:rPr>
        <w:t>destinataire four</w:t>
      </w:r>
      <w:r w:rsidR="00FA345F">
        <w:rPr>
          <w:rFonts w:asciiTheme="minorHAnsi" w:eastAsia="Times New Roman" w:hAnsiTheme="minorHAnsi" w:cstheme="minorHAnsi"/>
          <w:sz w:val="22"/>
          <w:szCs w:val="22"/>
          <w:lang w:eastAsia="fr-FR"/>
        </w:rPr>
        <w:t>n</w:t>
      </w:r>
      <w:r w:rsidR="00097DE6">
        <w:rPr>
          <w:rFonts w:asciiTheme="minorHAnsi" w:eastAsia="Times New Roman" w:hAnsiTheme="minorHAnsi" w:cstheme="minorHAnsi"/>
          <w:sz w:val="22"/>
          <w:szCs w:val="22"/>
          <w:lang w:eastAsia="fr-FR"/>
        </w:rPr>
        <w:t>isse des assurances appropriées conformes aux garanties prévues par l’Accord</w:t>
      </w:r>
      <w:r w:rsidR="00EF25BC" w:rsidRPr="00B32CE2">
        <w:rPr>
          <w:rFonts w:asciiTheme="minorHAnsi" w:eastAsia="Times New Roman" w:hAnsiTheme="minorHAnsi" w:cstheme="minorHAnsi"/>
          <w:sz w:val="22"/>
          <w:szCs w:val="22"/>
          <w:lang w:eastAsia="fr-FR"/>
        </w:rPr>
        <w:t>.</w:t>
      </w:r>
      <w:r w:rsidR="00FA345F">
        <w:rPr>
          <w:rFonts w:asciiTheme="minorHAnsi" w:eastAsia="Times New Roman" w:hAnsiTheme="minorHAnsi" w:cstheme="minorHAnsi"/>
          <w:sz w:val="22"/>
          <w:szCs w:val="22"/>
          <w:lang w:eastAsia="fr-FR"/>
        </w:rPr>
        <w:t xml:space="preserve"> </w:t>
      </w:r>
      <w:r w:rsidR="00FA0224">
        <w:rPr>
          <w:rFonts w:asciiTheme="minorHAnsi" w:eastAsia="Times New Roman" w:hAnsiTheme="minorHAnsi" w:cstheme="minorHAnsi"/>
          <w:sz w:val="22"/>
          <w:szCs w:val="22"/>
          <w:lang w:eastAsia="fr-FR"/>
        </w:rPr>
        <w:t xml:space="preserve">De plus, en cas de </w:t>
      </w:r>
      <w:r w:rsidR="00627573">
        <w:rPr>
          <w:rFonts w:asciiTheme="minorHAnsi" w:eastAsia="Times New Roman" w:hAnsiTheme="minorHAnsi" w:cstheme="minorHAnsi"/>
          <w:sz w:val="22"/>
          <w:szCs w:val="22"/>
          <w:lang w:eastAsia="fr-FR"/>
        </w:rPr>
        <w:t>partage avec</w:t>
      </w:r>
      <w:r w:rsidR="00FA0224">
        <w:rPr>
          <w:rFonts w:asciiTheme="minorHAnsi" w:eastAsia="Times New Roman" w:hAnsiTheme="minorHAnsi" w:cstheme="minorHAnsi"/>
          <w:sz w:val="22"/>
          <w:szCs w:val="22"/>
          <w:lang w:eastAsia="fr-FR"/>
        </w:rPr>
        <w:t xml:space="preserve"> une entité</w:t>
      </w:r>
      <w:r w:rsidR="00EF25BC" w:rsidRPr="00B32CE2">
        <w:rPr>
          <w:rFonts w:asciiTheme="minorHAnsi" w:eastAsia="Times New Roman" w:hAnsiTheme="minorHAnsi" w:cstheme="minorHAnsi"/>
          <w:sz w:val="22"/>
          <w:szCs w:val="22"/>
          <w:lang w:eastAsia="fr-FR"/>
        </w:rPr>
        <w:t xml:space="preserve"> </w:t>
      </w:r>
      <w:r w:rsidR="00FA0224">
        <w:rPr>
          <w:rFonts w:asciiTheme="minorHAnsi" w:eastAsia="Times New Roman" w:hAnsiTheme="minorHAnsi" w:cstheme="minorHAnsi"/>
          <w:sz w:val="22"/>
          <w:szCs w:val="22"/>
          <w:lang w:eastAsia="fr-FR"/>
        </w:rPr>
        <w:t xml:space="preserve">autre que </w:t>
      </w:r>
      <w:r w:rsidR="004F6C0E">
        <w:rPr>
          <w:rFonts w:asciiTheme="minorHAnsi" w:eastAsia="Times New Roman" w:hAnsiTheme="minorHAnsi" w:cstheme="minorHAnsi"/>
          <w:sz w:val="22"/>
          <w:szCs w:val="22"/>
          <w:lang w:eastAsia="fr-FR"/>
        </w:rPr>
        <w:t>la</w:t>
      </w:r>
      <w:r w:rsidR="00E843CB">
        <w:rPr>
          <w:rFonts w:asciiTheme="minorHAnsi" w:eastAsia="Times New Roman" w:hAnsiTheme="minorHAnsi" w:cstheme="minorHAnsi"/>
          <w:sz w:val="22"/>
          <w:szCs w:val="22"/>
          <w:lang w:eastAsia="fr-FR"/>
        </w:rPr>
        <w:t xml:space="preserve"> SEC</w:t>
      </w:r>
      <w:r w:rsidR="001634E0">
        <w:rPr>
          <w:rFonts w:asciiTheme="minorHAnsi" w:eastAsia="Times New Roman" w:hAnsiTheme="minorHAnsi" w:cstheme="minorHAnsi"/>
          <w:sz w:val="22"/>
          <w:szCs w:val="22"/>
          <w:lang w:eastAsia="fr-FR"/>
        </w:rPr>
        <w:t>, le PCAOB</w:t>
      </w:r>
      <w:r w:rsidR="00FA0224">
        <w:rPr>
          <w:rFonts w:asciiTheme="minorHAnsi" w:eastAsia="Times New Roman" w:hAnsiTheme="minorHAnsi" w:cstheme="minorHAnsi"/>
          <w:sz w:val="22"/>
          <w:szCs w:val="22"/>
          <w:lang w:eastAsia="fr-FR"/>
        </w:rPr>
        <w:t xml:space="preserve"> devra obtenir l’accord préalable du H3C. En cas de </w:t>
      </w:r>
      <w:r w:rsidR="00751719">
        <w:rPr>
          <w:rFonts w:asciiTheme="minorHAnsi" w:eastAsia="Times New Roman" w:hAnsiTheme="minorHAnsi" w:cstheme="minorHAnsi"/>
          <w:sz w:val="22"/>
          <w:szCs w:val="22"/>
          <w:lang w:eastAsia="fr-FR"/>
        </w:rPr>
        <w:t>partage avec</w:t>
      </w:r>
      <w:r w:rsidR="00FA0224">
        <w:rPr>
          <w:rFonts w:asciiTheme="minorHAnsi" w:eastAsia="Times New Roman" w:hAnsiTheme="minorHAnsi" w:cstheme="minorHAnsi"/>
          <w:sz w:val="22"/>
          <w:szCs w:val="22"/>
          <w:lang w:eastAsia="fr-FR"/>
        </w:rPr>
        <w:t xml:space="preserve"> la </w:t>
      </w:r>
      <w:r w:rsidR="00E843CB">
        <w:rPr>
          <w:rFonts w:asciiTheme="minorHAnsi" w:eastAsia="Times New Roman" w:hAnsiTheme="minorHAnsi" w:cstheme="minorHAnsi"/>
          <w:sz w:val="22"/>
          <w:szCs w:val="22"/>
          <w:lang w:eastAsia="fr-FR"/>
        </w:rPr>
        <w:t>SEC</w:t>
      </w:r>
      <w:r w:rsidR="00840619">
        <w:rPr>
          <w:rFonts w:asciiTheme="minorHAnsi" w:eastAsia="Times New Roman" w:hAnsiTheme="minorHAnsi" w:cstheme="minorHAnsi"/>
          <w:sz w:val="22"/>
          <w:szCs w:val="22"/>
          <w:lang w:eastAsia="fr-FR"/>
        </w:rPr>
        <w:t xml:space="preserve">, il est prévu un mécanisme d’information périodique relatif à la nature des données partagées et les raisons du </w:t>
      </w:r>
      <w:r w:rsidR="00E31E37">
        <w:rPr>
          <w:rFonts w:asciiTheme="minorHAnsi" w:eastAsia="Times New Roman" w:hAnsiTheme="minorHAnsi" w:cstheme="minorHAnsi"/>
          <w:sz w:val="22"/>
          <w:szCs w:val="22"/>
          <w:lang w:eastAsia="fr-FR"/>
        </w:rPr>
        <w:t>partage.</w:t>
      </w:r>
    </w:p>
    <w:p w14:paraId="78BD0085" w14:textId="77777777" w:rsidR="00EF25BC" w:rsidRPr="00136EC2" w:rsidRDefault="00EF25BC" w:rsidP="0054319F">
      <w:pPr>
        <w:pStyle w:val="Paragraphedeliste"/>
        <w:shd w:val="clear" w:color="auto" w:fill="FFFFFF"/>
        <w:spacing w:after="450" w:line="240" w:lineRule="auto"/>
        <w:jc w:val="both"/>
        <w:rPr>
          <w:rFonts w:eastAsia="Times New Roman" w:cs="Arial"/>
          <w:lang w:eastAsia="fr-FR"/>
        </w:rPr>
      </w:pPr>
    </w:p>
    <w:p w14:paraId="64EBCEED" w14:textId="1CEAB65A" w:rsidR="00136EC2" w:rsidRPr="00E10C89" w:rsidRDefault="004675EF" w:rsidP="0054319F">
      <w:pPr>
        <w:pStyle w:val="Paragraphedeliste"/>
        <w:numPr>
          <w:ilvl w:val="0"/>
          <w:numId w:val="13"/>
        </w:numPr>
        <w:shd w:val="clear" w:color="auto" w:fill="FFFFFF"/>
        <w:spacing w:after="0" w:line="240" w:lineRule="auto"/>
        <w:jc w:val="both"/>
        <w:rPr>
          <w:rFonts w:eastAsia="Times New Roman" w:cs="Arial"/>
          <w:b/>
          <w:bCs/>
          <w:lang w:eastAsia="fr-FR"/>
        </w:rPr>
      </w:pPr>
      <w:r>
        <w:rPr>
          <w:rFonts w:cs="Calibri"/>
          <w:b/>
          <w:bCs/>
          <w:color w:val="272727"/>
        </w:rPr>
        <w:t>D</w:t>
      </w:r>
      <w:r w:rsidR="00136EC2" w:rsidRPr="004675EF">
        <w:rPr>
          <w:rFonts w:cs="Calibri"/>
          <w:b/>
          <w:bCs/>
          <w:color w:val="272727"/>
        </w:rPr>
        <w:t xml:space="preserve">roits conférés aux </w:t>
      </w:r>
      <w:r w:rsidR="00DC3415">
        <w:rPr>
          <w:rFonts w:cs="Calibri"/>
          <w:b/>
          <w:bCs/>
          <w:color w:val="272727"/>
        </w:rPr>
        <w:t>p</w:t>
      </w:r>
      <w:r w:rsidR="00136EC2" w:rsidRPr="004675EF">
        <w:rPr>
          <w:rFonts w:cs="Calibri"/>
          <w:b/>
          <w:bCs/>
          <w:color w:val="272727"/>
        </w:rPr>
        <w:t xml:space="preserve">ersonnes </w:t>
      </w:r>
      <w:r w:rsidR="00DC3415">
        <w:rPr>
          <w:rFonts w:cs="Calibri"/>
          <w:b/>
          <w:bCs/>
          <w:color w:val="272727"/>
        </w:rPr>
        <w:t>c</w:t>
      </w:r>
      <w:r w:rsidR="00136EC2" w:rsidRPr="004675EF">
        <w:rPr>
          <w:rFonts w:cs="Calibri"/>
          <w:b/>
          <w:bCs/>
          <w:color w:val="272727"/>
        </w:rPr>
        <w:t>oncernées</w:t>
      </w:r>
      <w:r w:rsidR="00DC3415">
        <w:rPr>
          <w:rFonts w:cs="Calibri"/>
          <w:b/>
          <w:bCs/>
          <w:color w:val="272727"/>
        </w:rPr>
        <w:t xml:space="preserve"> et</w:t>
      </w:r>
      <w:r w:rsidR="00136EC2" w:rsidRPr="004675EF">
        <w:rPr>
          <w:rFonts w:cs="Calibri"/>
          <w:b/>
          <w:bCs/>
          <w:color w:val="272727"/>
        </w:rPr>
        <w:t xml:space="preserve"> modalités d’exercice de ces droits</w:t>
      </w:r>
    </w:p>
    <w:p w14:paraId="736250CA" w14:textId="77777777" w:rsidR="00E10C89" w:rsidRPr="004675EF" w:rsidRDefault="00E10C89" w:rsidP="00E10C89">
      <w:pPr>
        <w:pStyle w:val="Paragraphedeliste"/>
        <w:shd w:val="clear" w:color="auto" w:fill="FFFFFF"/>
        <w:spacing w:after="0" w:line="240" w:lineRule="auto"/>
        <w:jc w:val="both"/>
        <w:rPr>
          <w:rFonts w:eastAsia="Times New Roman" w:cs="Arial"/>
          <w:b/>
          <w:bCs/>
          <w:lang w:eastAsia="fr-FR"/>
        </w:rPr>
      </w:pPr>
    </w:p>
    <w:p w14:paraId="49347C6D" w14:textId="67EAD4DC" w:rsidR="000C27AF" w:rsidRDefault="00F3050E" w:rsidP="0054319F">
      <w:pPr>
        <w:shd w:val="clear" w:color="auto" w:fill="FFFFFF"/>
        <w:spacing w:after="0"/>
        <w:jc w:val="both"/>
        <w:rPr>
          <w:rFonts w:asciiTheme="minorHAnsi" w:eastAsia="Times New Roman" w:hAnsiTheme="minorHAnsi" w:cstheme="minorHAnsi"/>
          <w:sz w:val="22"/>
          <w:szCs w:val="22"/>
          <w:lang w:eastAsia="fr-FR"/>
        </w:rPr>
      </w:pPr>
      <w:r w:rsidRPr="00CA2F18">
        <w:rPr>
          <w:rFonts w:asciiTheme="minorHAnsi" w:eastAsia="Times New Roman" w:hAnsiTheme="minorHAnsi" w:cstheme="minorHAnsi"/>
          <w:sz w:val="22"/>
          <w:szCs w:val="22"/>
          <w:lang w:eastAsia="fr-FR"/>
        </w:rPr>
        <w:t>L’Accord prévoit</w:t>
      </w:r>
      <w:r w:rsidR="00862AD7">
        <w:rPr>
          <w:rFonts w:asciiTheme="minorHAnsi" w:eastAsia="Times New Roman" w:hAnsiTheme="minorHAnsi" w:cstheme="minorHAnsi"/>
          <w:sz w:val="22"/>
          <w:szCs w:val="22"/>
          <w:lang w:eastAsia="fr-FR"/>
        </w:rPr>
        <w:t>, sous certaine</w:t>
      </w:r>
      <w:r w:rsidR="00B43E00">
        <w:rPr>
          <w:rFonts w:asciiTheme="minorHAnsi" w:eastAsia="Times New Roman" w:hAnsiTheme="minorHAnsi" w:cstheme="minorHAnsi"/>
          <w:sz w:val="22"/>
          <w:szCs w:val="22"/>
          <w:lang w:eastAsia="fr-FR"/>
        </w:rPr>
        <w:t>s limitations</w:t>
      </w:r>
      <w:r w:rsidR="004661FB">
        <w:rPr>
          <w:rFonts w:asciiTheme="minorHAnsi" w:eastAsia="Times New Roman" w:hAnsiTheme="minorHAnsi" w:cstheme="minorHAnsi"/>
          <w:sz w:val="22"/>
          <w:szCs w:val="22"/>
          <w:lang w:eastAsia="fr-FR"/>
        </w:rPr>
        <w:t xml:space="preserve"> (voir (d) ci-dessous)</w:t>
      </w:r>
      <w:r w:rsidR="00271342">
        <w:rPr>
          <w:rFonts w:asciiTheme="minorHAnsi" w:eastAsia="Times New Roman" w:hAnsiTheme="minorHAnsi" w:cstheme="minorHAnsi"/>
          <w:sz w:val="22"/>
          <w:szCs w:val="22"/>
          <w:lang w:eastAsia="fr-FR"/>
        </w:rPr>
        <w:t>,</w:t>
      </w:r>
      <w:r w:rsidRPr="00CA2F18">
        <w:rPr>
          <w:rFonts w:asciiTheme="minorHAnsi" w:eastAsia="Times New Roman" w:hAnsiTheme="minorHAnsi" w:cstheme="minorHAnsi"/>
          <w:sz w:val="22"/>
          <w:szCs w:val="22"/>
          <w:lang w:eastAsia="fr-FR"/>
        </w:rPr>
        <w:t xml:space="preserve"> </w:t>
      </w:r>
      <w:r w:rsidR="00B43E00">
        <w:rPr>
          <w:rFonts w:asciiTheme="minorHAnsi" w:eastAsia="Times New Roman" w:hAnsiTheme="minorHAnsi" w:cstheme="minorHAnsi"/>
          <w:sz w:val="22"/>
          <w:szCs w:val="22"/>
          <w:lang w:eastAsia="fr-FR"/>
        </w:rPr>
        <w:t>de</w:t>
      </w:r>
      <w:r w:rsidRPr="00CA2F18">
        <w:rPr>
          <w:rFonts w:asciiTheme="minorHAnsi" w:eastAsia="Times New Roman" w:hAnsiTheme="minorHAnsi" w:cstheme="minorHAnsi"/>
          <w:sz w:val="22"/>
          <w:szCs w:val="22"/>
          <w:lang w:eastAsia="fr-FR"/>
        </w:rPr>
        <w:t xml:space="preserve">s droits pour les personnes concernées. </w:t>
      </w:r>
      <w:r w:rsidR="00977931" w:rsidRPr="00CA2F18">
        <w:rPr>
          <w:rFonts w:asciiTheme="minorHAnsi" w:eastAsia="Times New Roman" w:hAnsiTheme="minorHAnsi" w:cstheme="minorHAnsi"/>
          <w:sz w:val="22"/>
          <w:szCs w:val="22"/>
          <w:lang w:eastAsia="fr-FR"/>
        </w:rPr>
        <w:t>Ces droits</w:t>
      </w:r>
      <w:r w:rsidR="00AE3085" w:rsidRPr="00CA2F18">
        <w:rPr>
          <w:rFonts w:asciiTheme="minorHAnsi" w:eastAsia="Times New Roman" w:hAnsiTheme="minorHAnsi" w:cstheme="minorHAnsi"/>
          <w:sz w:val="22"/>
          <w:szCs w:val="22"/>
          <w:lang w:eastAsia="fr-FR"/>
        </w:rPr>
        <w:t xml:space="preserve">, </w:t>
      </w:r>
      <w:r w:rsidR="0013654B">
        <w:rPr>
          <w:rFonts w:asciiTheme="minorHAnsi" w:eastAsia="Times New Roman" w:hAnsiTheme="minorHAnsi" w:cstheme="minorHAnsi"/>
          <w:sz w:val="22"/>
          <w:szCs w:val="22"/>
          <w:lang w:eastAsia="fr-FR"/>
        </w:rPr>
        <w:t>qui dé</w:t>
      </w:r>
      <w:r w:rsidR="00EE4DDC">
        <w:rPr>
          <w:rFonts w:asciiTheme="minorHAnsi" w:eastAsia="Times New Roman" w:hAnsiTheme="minorHAnsi" w:cstheme="minorHAnsi"/>
          <w:sz w:val="22"/>
          <w:szCs w:val="22"/>
          <w:lang w:eastAsia="fr-FR"/>
        </w:rPr>
        <w:t>c</w:t>
      </w:r>
      <w:r w:rsidR="0013654B">
        <w:rPr>
          <w:rFonts w:asciiTheme="minorHAnsi" w:eastAsia="Times New Roman" w:hAnsiTheme="minorHAnsi" w:cstheme="minorHAnsi"/>
          <w:sz w:val="22"/>
          <w:szCs w:val="22"/>
          <w:lang w:eastAsia="fr-FR"/>
        </w:rPr>
        <w:t>oulent</w:t>
      </w:r>
      <w:r w:rsidR="00AE3085" w:rsidRPr="00CA2F18">
        <w:rPr>
          <w:rFonts w:asciiTheme="minorHAnsi" w:eastAsia="Times New Roman" w:hAnsiTheme="minorHAnsi" w:cstheme="minorHAnsi"/>
          <w:sz w:val="22"/>
          <w:szCs w:val="22"/>
          <w:lang w:eastAsia="fr-FR"/>
        </w:rPr>
        <w:t xml:space="preserve"> du RGPD</w:t>
      </w:r>
      <w:r w:rsidR="009223DA">
        <w:rPr>
          <w:rFonts w:asciiTheme="minorHAnsi" w:eastAsia="Times New Roman" w:hAnsiTheme="minorHAnsi" w:cstheme="minorHAnsi"/>
          <w:sz w:val="22"/>
          <w:szCs w:val="22"/>
          <w:lang w:eastAsia="fr-FR"/>
        </w:rPr>
        <w:t>,</w:t>
      </w:r>
      <w:r w:rsidR="00AE3085" w:rsidRPr="00CA2F18">
        <w:rPr>
          <w:rFonts w:asciiTheme="minorHAnsi" w:eastAsia="Times New Roman" w:hAnsiTheme="minorHAnsi" w:cstheme="minorHAnsi"/>
          <w:sz w:val="22"/>
          <w:szCs w:val="22"/>
          <w:lang w:eastAsia="fr-FR"/>
        </w:rPr>
        <w:t xml:space="preserve"> sont les suivants</w:t>
      </w:r>
      <w:r w:rsidR="00977931" w:rsidRPr="00CA2F18">
        <w:rPr>
          <w:rFonts w:asciiTheme="minorHAnsi" w:eastAsia="Times New Roman" w:hAnsiTheme="minorHAnsi" w:cstheme="minorHAnsi"/>
          <w:sz w:val="22"/>
          <w:szCs w:val="22"/>
          <w:lang w:eastAsia="fr-FR"/>
        </w:rPr>
        <w:t> :</w:t>
      </w:r>
    </w:p>
    <w:p w14:paraId="5C46881A" w14:textId="77777777" w:rsidR="00862AD7" w:rsidRDefault="00862AD7" w:rsidP="0054319F">
      <w:pPr>
        <w:shd w:val="clear" w:color="auto" w:fill="FFFFFF"/>
        <w:spacing w:after="0"/>
        <w:jc w:val="both"/>
        <w:rPr>
          <w:rFonts w:asciiTheme="minorHAnsi" w:eastAsia="Times New Roman" w:hAnsiTheme="minorHAnsi" w:cstheme="minorHAnsi"/>
          <w:sz w:val="22"/>
          <w:szCs w:val="22"/>
          <w:lang w:eastAsia="fr-FR"/>
        </w:rPr>
      </w:pPr>
    </w:p>
    <w:p w14:paraId="2516B861" w14:textId="77777777" w:rsidR="00551808" w:rsidRDefault="008A7BC1" w:rsidP="0054319F">
      <w:pPr>
        <w:pStyle w:val="Paragraphedeliste"/>
        <w:numPr>
          <w:ilvl w:val="0"/>
          <w:numId w:val="15"/>
        </w:numPr>
        <w:shd w:val="clear" w:color="auto" w:fill="FFFFFF"/>
        <w:spacing w:after="0" w:line="240" w:lineRule="auto"/>
        <w:jc w:val="both"/>
        <w:rPr>
          <w:rFonts w:asciiTheme="minorHAnsi" w:hAnsiTheme="minorHAnsi" w:cstheme="minorHAnsi"/>
          <w:lang w:eastAsia="nl-NL"/>
        </w:rPr>
      </w:pPr>
      <w:r w:rsidRPr="00551808">
        <w:rPr>
          <w:rFonts w:asciiTheme="minorHAnsi" w:hAnsiTheme="minorHAnsi" w:cstheme="minorHAnsi"/>
          <w:lang w:eastAsia="nl-NL"/>
        </w:rPr>
        <w:t>droit d’accès</w:t>
      </w:r>
      <w:r w:rsidR="000675CC" w:rsidRPr="00551808">
        <w:rPr>
          <w:rFonts w:asciiTheme="minorHAnsi" w:hAnsiTheme="minorHAnsi" w:cstheme="minorHAnsi"/>
          <w:lang w:eastAsia="nl-NL"/>
        </w:rPr>
        <w:t> ;</w:t>
      </w:r>
    </w:p>
    <w:p w14:paraId="0A8D0C49" w14:textId="77777777" w:rsidR="00551808" w:rsidRPr="00551808" w:rsidRDefault="008A7BC1" w:rsidP="0054319F">
      <w:pPr>
        <w:pStyle w:val="Paragraphedeliste"/>
        <w:numPr>
          <w:ilvl w:val="0"/>
          <w:numId w:val="15"/>
        </w:numPr>
        <w:shd w:val="clear" w:color="auto" w:fill="FFFFFF"/>
        <w:spacing w:after="0" w:line="240" w:lineRule="auto"/>
        <w:jc w:val="both"/>
        <w:rPr>
          <w:rFonts w:asciiTheme="minorHAnsi" w:hAnsiTheme="minorHAnsi" w:cstheme="minorHAnsi"/>
          <w:lang w:eastAsia="nl-NL"/>
        </w:rPr>
      </w:pPr>
      <w:r w:rsidRPr="00551808">
        <w:rPr>
          <w:rFonts w:asciiTheme="minorHAnsi" w:hAnsiTheme="minorHAnsi" w:cstheme="minorHAnsi"/>
          <w:lang w:eastAsia="nl-NL"/>
        </w:rPr>
        <w:t>droit à l’effacement</w:t>
      </w:r>
      <w:r w:rsidR="000675CC" w:rsidRPr="00551808">
        <w:rPr>
          <w:rFonts w:asciiTheme="minorHAnsi" w:hAnsiTheme="minorHAnsi" w:cstheme="minorHAnsi"/>
          <w:lang w:eastAsia="nl-NL"/>
        </w:rPr>
        <w:t> ;</w:t>
      </w:r>
    </w:p>
    <w:p w14:paraId="091A1694" w14:textId="77777777" w:rsidR="00551808" w:rsidRPr="00551808" w:rsidRDefault="008A7BC1" w:rsidP="0054319F">
      <w:pPr>
        <w:pStyle w:val="Paragraphedeliste"/>
        <w:numPr>
          <w:ilvl w:val="0"/>
          <w:numId w:val="15"/>
        </w:numPr>
        <w:shd w:val="clear" w:color="auto" w:fill="FFFFFF"/>
        <w:spacing w:after="0" w:line="240" w:lineRule="auto"/>
        <w:jc w:val="both"/>
        <w:rPr>
          <w:rFonts w:asciiTheme="minorHAnsi" w:hAnsiTheme="minorHAnsi" w:cstheme="minorHAnsi"/>
          <w:lang w:eastAsia="nl-NL"/>
        </w:rPr>
      </w:pPr>
      <w:r w:rsidRPr="00551808">
        <w:rPr>
          <w:rFonts w:asciiTheme="minorHAnsi" w:hAnsiTheme="minorHAnsi" w:cstheme="minorHAnsi"/>
          <w:lang w:eastAsia="nl-NL"/>
        </w:rPr>
        <w:t>droit à l’information</w:t>
      </w:r>
      <w:r w:rsidR="00923A68" w:rsidRPr="00551808">
        <w:rPr>
          <w:rFonts w:asciiTheme="minorHAnsi" w:hAnsiTheme="minorHAnsi" w:cstheme="minorHAnsi"/>
          <w:lang w:eastAsia="nl-NL"/>
        </w:rPr>
        <w:t> ;</w:t>
      </w:r>
    </w:p>
    <w:p w14:paraId="4518BF15" w14:textId="77777777" w:rsidR="00862AD7" w:rsidRPr="00862AD7" w:rsidRDefault="008A7BC1" w:rsidP="0054319F">
      <w:pPr>
        <w:pStyle w:val="Paragraphedeliste"/>
        <w:numPr>
          <w:ilvl w:val="0"/>
          <w:numId w:val="15"/>
        </w:numPr>
        <w:shd w:val="clear" w:color="auto" w:fill="FFFFFF"/>
        <w:spacing w:after="0" w:line="240" w:lineRule="auto"/>
        <w:jc w:val="both"/>
        <w:rPr>
          <w:rFonts w:asciiTheme="minorHAnsi" w:hAnsiTheme="minorHAnsi" w:cstheme="minorHAnsi"/>
          <w:lang w:eastAsia="nl-NL"/>
        </w:rPr>
      </w:pPr>
      <w:r w:rsidRPr="00551808">
        <w:rPr>
          <w:rFonts w:asciiTheme="minorHAnsi" w:hAnsiTheme="minorHAnsi" w:cstheme="minorHAnsi"/>
          <w:lang w:eastAsia="nl-NL"/>
        </w:rPr>
        <w:t>droit d’opposition</w:t>
      </w:r>
      <w:r w:rsidR="00923A68" w:rsidRPr="00551808">
        <w:rPr>
          <w:rFonts w:asciiTheme="minorHAnsi" w:hAnsiTheme="minorHAnsi" w:cstheme="minorHAnsi"/>
          <w:lang w:eastAsia="nl-NL"/>
        </w:rPr>
        <w:t xml:space="preserve"> ; </w:t>
      </w:r>
    </w:p>
    <w:p w14:paraId="60B18324" w14:textId="77777777" w:rsidR="00862AD7" w:rsidRPr="00862AD7" w:rsidRDefault="008A7BC1" w:rsidP="0054319F">
      <w:pPr>
        <w:pStyle w:val="Paragraphedeliste"/>
        <w:numPr>
          <w:ilvl w:val="0"/>
          <w:numId w:val="15"/>
        </w:numPr>
        <w:shd w:val="clear" w:color="auto" w:fill="FFFFFF"/>
        <w:spacing w:after="0" w:line="240" w:lineRule="auto"/>
        <w:jc w:val="both"/>
        <w:rPr>
          <w:rFonts w:asciiTheme="minorHAnsi" w:hAnsiTheme="minorHAnsi" w:cstheme="minorHAnsi"/>
          <w:lang w:eastAsia="nl-NL"/>
        </w:rPr>
      </w:pPr>
      <w:r w:rsidRPr="00551808">
        <w:rPr>
          <w:rFonts w:asciiTheme="minorHAnsi" w:hAnsiTheme="minorHAnsi" w:cstheme="minorHAnsi"/>
          <w:lang w:eastAsia="nl-NL"/>
        </w:rPr>
        <w:t>droit de rectification</w:t>
      </w:r>
      <w:r w:rsidR="00862AD7">
        <w:rPr>
          <w:rFonts w:asciiTheme="minorHAnsi" w:hAnsiTheme="minorHAnsi" w:cstheme="minorHAnsi"/>
          <w:lang w:eastAsia="nl-NL"/>
        </w:rPr>
        <w:t> ;</w:t>
      </w:r>
    </w:p>
    <w:p w14:paraId="74B337B8" w14:textId="18BB3373" w:rsidR="00CA2F18" w:rsidRPr="00551808" w:rsidRDefault="008A7BC1" w:rsidP="0054319F">
      <w:pPr>
        <w:pStyle w:val="Paragraphedeliste"/>
        <w:numPr>
          <w:ilvl w:val="0"/>
          <w:numId w:val="15"/>
        </w:numPr>
        <w:shd w:val="clear" w:color="auto" w:fill="FFFFFF"/>
        <w:spacing w:after="0" w:line="240" w:lineRule="auto"/>
        <w:jc w:val="both"/>
        <w:rPr>
          <w:rFonts w:asciiTheme="minorHAnsi" w:hAnsiTheme="minorHAnsi" w:cstheme="minorHAnsi"/>
          <w:lang w:eastAsia="nl-NL"/>
        </w:rPr>
      </w:pPr>
      <w:r w:rsidRPr="00551808">
        <w:rPr>
          <w:rFonts w:asciiTheme="minorHAnsi" w:hAnsiTheme="minorHAnsi" w:cstheme="minorHAnsi"/>
          <w:lang w:eastAsia="nl-NL"/>
        </w:rPr>
        <w:t>droit à la limitation du traitement</w:t>
      </w:r>
      <w:r w:rsidR="00923A68" w:rsidRPr="00551808">
        <w:rPr>
          <w:rFonts w:asciiTheme="minorHAnsi" w:hAnsiTheme="minorHAnsi" w:cstheme="minorHAnsi"/>
          <w:lang w:eastAsia="nl-NL"/>
        </w:rPr>
        <w:t>.</w:t>
      </w:r>
    </w:p>
    <w:p w14:paraId="07F06631" w14:textId="77777777" w:rsidR="00CD5BAC" w:rsidRDefault="00CD5BAC" w:rsidP="0054319F">
      <w:pPr>
        <w:shd w:val="clear" w:color="auto" w:fill="FFFFFF"/>
        <w:spacing w:after="0"/>
        <w:jc w:val="both"/>
        <w:rPr>
          <w:rFonts w:ascii="Calibri" w:hAnsi="Calibri" w:cs="Calibri"/>
          <w:sz w:val="22"/>
          <w:szCs w:val="22"/>
          <w:lang w:eastAsia="nl-NL"/>
        </w:rPr>
      </w:pPr>
    </w:p>
    <w:p w14:paraId="0D514028" w14:textId="7D03DFA0" w:rsidR="00BE3F11" w:rsidRPr="001C4D68" w:rsidRDefault="00CD5BAC" w:rsidP="0054319F">
      <w:pPr>
        <w:shd w:val="clear" w:color="auto" w:fill="FFFFFF"/>
        <w:spacing w:after="0"/>
        <w:jc w:val="both"/>
        <w:rPr>
          <w:rFonts w:ascii="Calibri" w:hAnsi="Calibri" w:cs="Calibri"/>
          <w:sz w:val="22"/>
          <w:szCs w:val="22"/>
          <w:lang w:eastAsia="nl-NL"/>
        </w:rPr>
      </w:pPr>
      <w:r>
        <w:rPr>
          <w:rFonts w:ascii="Calibri" w:hAnsi="Calibri" w:cs="Calibri"/>
          <w:sz w:val="22"/>
          <w:szCs w:val="22"/>
          <w:lang w:eastAsia="nl-NL"/>
        </w:rPr>
        <w:t xml:space="preserve">Ces droits peuvent être exercées </w:t>
      </w:r>
      <w:r w:rsidR="001C4D68">
        <w:rPr>
          <w:rFonts w:ascii="Calibri" w:hAnsi="Calibri" w:cs="Calibri"/>
          <w:sz w:val="22"/>
          <w:szCs w:val="22"/>
          <w:lang w:eastAsia="nl-NL"/>
        </w:rPr>
        <w:t xml:space="preserve">en adressant une demande </w:t>
      </w:r>
      <w:r w:rsidR="00BE3F11">
        <w:rPr>
          <w:rFonts w:ascii="Calibri" w:hAnsi="Calibri" w:cs="Calibri"/>
          <w:sz w:val="22"/>
          <w:szCs w:val="22"/>
          <w:lang w:eastAsia="nl-NL"/>
        </w:rPr>
        <w:t>au H3C :</w:t>
      </w:r>
    </w:p>
    <w:p w14:paraId="0116EF17" w14:textId="77777777" w:rsidR="00BE3F11" w:rsidRDefault="00BE3F11" w:rsidP="0054319F">
      <w:pPr>
        <w:pStyle w:val="Default"/>
        <w:rPr>
          <w:rFonts w:ascii="Calibri" w:hAnsi="Calibri" w:cs="Calibri"/>
          <w:sz w:val="22"/>
          <w:szCs w:val="22"/>
          <w:lang w:eastAsia="nl-NL"/>
        </w:rPr>
      </w:pPr>
      <w:r>
        <w:rPr>
          <w:rFonts w:ascii="Calibri" w:hAnsi="Calibri" w:cs="Calibri"/>
          <w:sz w:val="22"/>
          <w:szCs w:val="22"/>
          <w:lang w:eastAsia="nl-NL"/>
        </w:rPr>
        <w:t xml:space="preserve">- par courriel : </w:t>
      </w:r>
      <w:hyperlink r:id="rId8" w:history="1">
        <w:r w:rsidRPr="000325AE">
          <w:rPr>
            <w:rStyle w:val="Lienhypertexte"/>
            <w:rFonts w:ascii="Calibri" w:hAnsi="Calibri" w:cs="Calibri"/>
            <w:sz w:val="22"/>
            <w:szCs w:val="22"/>
            <w:lang w:eastAsia="nl-NL"/>
          </w:rPr>
          <w:t>dpd@h3c.org</w:t>
        </w:r>
      </w:hyperlink>
      <w:r>
        <w:rPr>
          <w:rFonts w:ascii="Calibri" w:hAnsi="Calibri" w:cs="Calibri"/>
          <w:sz w:val="22"/>
          <w:szCs w:val="22"/>
          <w:lang w:eastAsia="nl-NL"/>
        </w:rPr>
        <w:t xml:space="preserve"> </w:t>
      </w:r>
    </w:p>
    <w:p w14:paraId="67DEED71" w14:textId="114154E7" w:rsidR="00BE3F11" w:rsidRDefault="00BE3F11" w:rsidP="0054319F">
      <w:pPr>
        <w:pStyle w:val="Default"/>
        <w:rPr>
          <w:rFonts w:ascii="Calibri" w:hAnsi="Calibri" w:cs="Calibri"/>
          <w:sz w:val="22"/>
          <w:szCs w:val="22"/>
          <w:lang w:eastAsia="nl-NL"/>
        </w:rPr>
      </w:pPr>
      <w:r>
        <w:rPr>
          <w:rFonts w:ascii="Calibri" w:hAnsi="Calibri" w:cs="Calibri"/>
          <w:sz w:val="22"/>
          <w:szCs w:val="22"/>
          <w:lang w:eastAsia="nl-NL"/>
        </w:rPr>
        <w:t>- par courrier : Haut conseil du commissariat aux comptes – Délégué à la protection des données</w:t>
      </w:r>
      <w:r>
        <w:rPr>
          <w:rFonts w:ascii="Calibri" w:hAnsi="Calibri" w:cs="Calibri"/>
          <w:sz w:val="22"/>
          <w:szCs w:val="22"/>
          <w:lang w:eastAsia="nl-NL"/>
        </w:rPr>
        <w:br/>
        <w:t>104 avenue du Président Kennedy – 75016 Paris (France)</w:t>
      </w:r>
    </w:p>
    <w:p w14:paraId="6E47E8B5" w14:textId="77777777" w:rsidR="00BE3F11" w:rsidRDefault="00BE3F11" w:rsidP="0054319F">
      <w:pPr>
        <w:pStyle w:val="Default"/>
        <w:rPr>
          <w:rFonts w:ascii="Calibri" w:hAnsi="Calibri" w:cs="Calibri"/>
          <w:sz w:val="22"/>
          <w:szCs w:val="22"/>
          <w:lang w:eastAsia="nl-NL"/>
        </w:rPr>
      </w:pPr>
    </w:p>
    <w:p w14:paraId="7B8305D7" w14:textId="3E0863D1" w:rsidR="006A4BB2" w:rsidRPr="0054319F" w:rsidRDefault="00BE3F11" w:rsidP="0054319F">
      <w:pPr>
        <w:autoSpaceDE w:val="0"/>
        <w:autoSpaceDN w:val="0"/>
        <w:adjustRightInd w:val="0"/>
        <w:rPr>
          <w:rFonts w:ascii="Calibri" w:hAnsi="Calibri" w:cs="Calibri"/>
          <w:sz w:val="22"/>
          <w:szCs w:val="22"/>
          <w:lang w:eastAsia="nl-NL"/>
        </w:rPr>
      </w:pPr>
      <w:r>
        <w:rPr>
          <w:rFonts w:ascii="Calibri" w:hAnsi="Calibri" w:cs="Calibri"/>
          <w:sz w:val="22"/>
          <w:szCs w:val="22"/>
          <w:lang w:eastAsia="nl-NL"/>
        </w:rPr>
        <w:t xml:space="preserve">Si la personne concernée souhaite contacter le PCAOB, elle peut envoyer un </w:t>
      </w:r>
      <w:proofErr w:type="gramStart"/>
      <w:r>
        <w:rPr>
          <w:rFonts w:ascii="Calibri" w:hAnsi="Calibri" w:cs="Calibri"/>
          <w:sz w:val="22"/>
          <w:szCs w:val="22"/>
          <w:lang w:eastAsia="nl-NL"/>
        </w:rPr>
        <w:t>e-mail</w:t>
      </w:r>
      <w:proofErr w:type="gramEnd"/>
      <w:r>
        <w:rPr>
          <w:rFonts w:ascii="Calibri" w:hAnsi="Calibri" w:cs="Calibri"/>
          <w:sz w:val="22"/>
          <w:szCs w:val="22"/>
          <w:lang w:eastAsia="nl-NL"/>
        </w:rPr>
        <w:t xml:space="preserve"> à : personaldata@pcaobus.org.</w:t>
      </w:r>
    </w:p>
    <w:p w14:paraId="20E3FC1E" w14:textId="77777777" w:rsidR="006A4BB2" w:rsidRDefault="006A4BB2" w:rsidP="0054319F">
      <w:pPr>
        <w:shd w:val="clear" w:color="auto" w:fill="FFFFFF"/>
        <w:spacing w:after="0"/>
        <w:jc w:val="both"/>
        <w:rPr>
          <w:rFonts w:asciiTheme="minorHAnsi" w:hAnsiTheme="minorHAnsi" w:cstheme="minorHAnsi"/>
          <w:sz w:val="22"/>
          <w:szCs w:val="22"/>
          <w:lang w:eastAsia="nl-NL"/>
        </w:rPr>
      </w:pPr>
    </w:p>
    <w:p w14:paraId="31B83131" w14:textId="1DC25B22" w:rsidR="0027640A" w:rsidRPr="00E10C89" w:rsidRDefault="0027640A" w:rsidP="0054319F">
      <w:pPr>
        <w:pStyle w:val="Paragraphedeliste"/>
        <w:numPr>
          <w:ilvl w:val="0"/>
          <w:numId w:val="13"/>
        </w:numPr>
        <w:shd w:val="clear" w:color="auto" w:fill="FFFFFF"/>
        <w:spacing w:after="0" w:line="240" w:lineRule="auto"/>
        <w:jc w:val="both"/>
        <w:rPr>
          <w:rFonts w:eastAsia="Times New Roman" w:cs="Arial"/>
          <w:b/>
          <w:bCs/>
          <w:lang w:eastAsia="fr-FR"/>
        </w:rPr>
      </w:pPr>
      <w:proofErr w:type="spellStart"/>
      <w:r w:rsidRPr="00EB4A8D">
        <w:rPr>
          <w:rFonts w:cs="Calibri"/>
          <w:b/>
          <w:bCs/>
          <w:color w:val="272727"/>
        </w:rPr>
        <w:t>lnformation</w:t>
      </w:r>
      <w:r w:rsidR="007E0F43">
        <w:rPr>
          <w:rFonts w:cs="Calibri"/>
          <w:b/>
          <w:bCs/>
          <w:color w:val="272727"/>
        </w:rPr>
        <w:t>s</w:t>
      </w:r>
      <w:proofErr w:type="spellEnd"/>
      <w:r w:rsidRPr="00EB4A8D">
        <w:rPr>
          <w:rFonts w:cs="Calibri"/>
          <w:b/>
          <w:bCs/>
          <w:color w:val="272727"/>
        </w:rPr>
        <w:t xml:space="preserve"> sur les délais ou </w:t>
      </w:r>
      <w:r w:rsidR="00CD5318">
        <w:rPr>
          <w:rFonts w:cs="Calibri"/>
          <w:b/>
          <w:bCs/>
          <w:color w:val="272727"/>
        </w:rPr>
        <w:t xml:space="preserve">les </w:t>
      </w:r>
      <w:r w:rsidRPr="00EB4A8D">
        <w:rPr>
          <w:rFonts w:cs="Calibri"/>
          <w:b/>
          <w:bCs/>
          <w:color w:val="272727"/>
        </w:rPr>
        <w:t>limitations portant sur l’exercice des droits</w:t>
      </w:r>
    </w:p>
    <w:p w14:paraId="442EE3AB" w14:textId="77777777" w:rsidR="00E10C89" w:rsidRPr="0083205E" w:rsidRDefault="00E10C89" w:rsidP="00E10C89">
      <w:pPr>
        <w:pStyle w:val="Paragraphedeliste"/>
        <w:shd w:val="clear" w:color="auto" w:fill="FFFFFF"/>
        <w:spacing w:after="0" w:line="240" w:lineRule="auto"/>
        <w:jc w:val="both"/>
        <w:rPr>
          <w:rFonts w:eastAsia="Times New Roman" w:cs="Arial"/>
          <w:b/>
          <w:bCs/>
          <w:lang w:eastAsia="fr-FR"/>
        </w:rPr>
      </w:pPr>
    </w:p>
    <w:p w14:paraId="06DFE67D" w14:textId="69F8BD56" w:rsidR="00844E7C" w:rsidRDefault="006E2BD7" w:rsidP="0054319F">
      <w:pPr>
        <w:autoSpaceDE w:val="0"/>
        <w:autoSpaceDN w:val="0"/>
        <w:adjustRightInd w:val="0"/>
        <w:jc w:val="both"/>
        <w:rPr>
          <w:rFonts w:asciiTheme="minorHAnsi" w:hAnsiTheme="minorHAnsi" w:cstheme="minorHAnsi"/>
          <w:sz w:val="22"/>
          <w:szCs w:val="22"/>
          <w:lang w:eastAsia="nl-NL"/>
        </w:rPr>
      </w:pPr>
      <w:r>
        <w:rPr>
          <w:rFonts w:asciiTheme="minorHAnsi" w:hAnsiTheme="minorHAnsi" w:cstheme="minorHAnsi"/>
          <w:sz w:val="22"/>
          <w:szCs w:val="22"/>
          <w:lang w:eastAsia="nl-NL"/>
        </w:rPr>
        <w:t>L’article III.</w:t>
      </w:r>
      <w:r w:rsidR="008301AD">
        <w:rPr>
          <w:rFonts w:asciiTheme="minorHAnsi" w:hAnsiTheme="minorHAnsi" w:cstheme="minorHAnsi"/>
          <w:sz w:val="22"/>
          <w:szCs w:val="22"/>
          <w:lang w:eastAsia="nl-NL"/>
        </w:rPr>
        <w:t xml:space="preserve"> 5 de l’Accord prévoit que l</w:t>
      </w:r>
      <w:r w:rsidR="00BD545E" w:rsidRPr="001F1331">
        <w:rPr>
          <w:rFonts w:asciiTheme="minorHAnsi" w:hAnsiTheme="minorHAnsi" w:cstheme="minorHAnsi"/>
          <w:sz w:val="22"/>
          <w:szCs w:val="22"/>
          <w:lang w:eastAsia="nl-NL"/>
        </w:rPr>
        <w:t>e H3C répondra</w:t>
      </w:r>
      <w:r w:rsidR="004E0B8E" w:rsidRPr="001F1331">
        <w:rPr>
          <w:rFonts w:asciiTheme="minorHAnsi" w:hAnsiTheme="minorHAnsi" w:cstheme="minorHAnsi"/>
          <w:sz w:val="22"/>
          <w:szCs w:val="22"/>
          <w:lang w:eastAsia="nl-NL"/>
        </w:rPr>
        <w:t xml:space="preserve"> aux personnes souhaitant exercer leur</w:t>
      </w:r>
      <w:r w:rsidR="002422A3">
        <w:rPr>
          <w:rFonts w:asciiTheme="minorHAnsi" w:hAnsiTheme="minorHAnsi" w:cstheme="minorHAnsi"/>
          <w:sz w:val="22"/>
          <w:szCs w:val="22"/>
          <w:lang w:eastAsia="nl-NL"/>
        </w:rPr>
        <w:t>s</w:t>
      </w:r>
      <w:r w:rsidR="004E0B8E" w:rsidRPr="001F1331">
        <w:rPr>
          <w:rFonts w:asciiTheme="minorHAnsi" w:hAnsiTheme="minorHAnsi" w:cstheme="minorHAnsi"/>
          <w:sz w:val="22"/>
          <w:szCs w:val="22"/>
          <w:lang w:eastAsia="nl-NL"/>
        </w:rPr>
        <w:t xml:space="preserve"> droits </w:t>
      </w:r>
      <w:r w:rsidR="00BD545E" w:rsidRPr="001F1331">
        <w:rPr>
          <w:rFonts w:asciiTheme="minorHAnsi" w:hAnsiTheme="minorHAnsi" w:cstheme="minorHAnsi"/>
          <w:sz w:val="22"/>
          <w:szCs w:val="22"/>
          <w:lang w:eastAsia="nl-NL"/>
        </w:rPr>
        <w:t>dans les meilleurs délais</w:t>
      </w:r>
      <w:r w:rsidR="004E0B8E" w:rsidRPr="001F1331">
        <w:rPr>
          <w:rFonts w:asciiTheme="minorHAnsi" w:hAnsiTheme="minorHAnsi" w:cstheme="minorHAnsi"/>
          <w:sz w:val="22"/>
          <w:szCs w:val="22"/>
          <w:lang w:eastAsia="nl-NL"/>
        </w:rPr>
        <w:t xml:space="preserve"> et</w:t>
      </w:r>
      <w:r w:rsidR="00BD545E" w:rsidRPr="001F1331">
        <w:rPr>
          <w:rFonts w:asciiTheme="minorHAnsi" w:hAnsiTheme="minorHAnsi" w:cstheme="minorHAnsi"/>
          <w:sz w:val="22"/>
          <w:szCs w:val="22"/>
          <w:lang w:eastAsia="nl-NL"/>
        </w:rPr>
        <w:t xml:space="preserve"> en tout état de cause, dans un délai d'un mois à compter de la réception de la demande. Ce délai pourra être prolongé de deux mois si nécessaire, en tenant compte de la complexité et du nombre des demandes.</w:t>
      </w:r>
      <w:r w:rsidR="00404D36" w:rsidRPr="001F1331">
        <w:rPr>
          <w:rFonts w:asciiTheme="minorHAnsi" w:hAnsiTheme="minorHAnsi" w:cstheme="minorHAnsi"/>
          <w:sz w:val="22"/>
          <w:szCs w:val="22"/>
          <w:lang w:eastAsia="nl-NL"/>
        </w:rPr>
        <w:t xml:space="preserve"> </w:t>
      </w:r>
      <w:r w:rsidR="00BD545E" w:rsidRPr="001F1331">
        <w:rPr>
          <w:rFonts w:asciiTheme="minorHAnsi" w:hAnsiTheme="minorHAnsi" w:cstheme="minorHAnsi"/>
          <w:sz w:val="22"/>
          <w:szCs w:val="22"/>
          <w:lang w:eastAsia="nl-NL"/>
        </w:rPr>
        <w:t xml:space="preserve"> Le H3C informera la </w:t>
      </w:r>
      <w:r w:rsidR="00B518CF">
        <w:rPr>
          <w:rFonts w:asciiTheme="minorHAnsi" w:hAnsiTheme="minorHAnsi" w:cstheme="minorHAnsi"/>
          <w:sz w:val="22"/>
          <w:szCs w:val="22"/>
          <w:lang w:eastAsia="nl-NL"/>
        </w:rPr>
        <w:t>p</w:t>
      </w:r>
      <w:r w:rsidR="00BD545E" w:rsidRPr="001F1331">
        <w:rPr>
          <w:rFonts w:asciiTheme="minorHAnsi" w:hAnsiTheme="minorHAnsi" w:cstheme="minorHAnsi"/>
          <w:sz w:val="22"/>
          <w:szCs w:val="22"/>
          <w:lang w:eastAsia="nl-NL"/>
        </w:rPr>
        <w:t xml:space="preserve">ersonne </w:t>
      </w:r>
      <w:r w:rsidR="00B518CF">
        <w:rPr>
          <w:rFonts w:asciiTheme="minorHAnsi" w:hAnsiTheme="minorHAnsi" w:cstheme="minorHAnsi"/>
          <w:sz w:val="22"/>
          <w:szCs w:val="22"/>
          <w:lang w:eastAsia="nl-NL"/>
        </w:rPr>
        <w:t>c</w:t>
      </w:r>
      <w:r w:rsidR="00BD545E" w:rsidRPr="001F1331">
        <w:rPr>
          <w:rFonts w:asciiTheme="minorHAnsi" w:hAnsiTheme="minorHAnsi" w:cstheme="minorHAnsi"/>
          <w:sz w:val="22"/>
          <w:szCs w:val="22"/>
          <w:lang w:eastAsia="nl-NL"/>
        </w:rPr>
        <w:t>oncernée de cette prorogation dans un délai d'un mois à compter de la réception de la demande. Si le H3C et/ou le PCAOB ne donne</w:t>
      </w:r>
      <w:r w:rsidR="00354673" w:rsidRPr="001F1331">
        <w:rPr>
          <w:rFonts w:asciiTheme="minorHAnsi" w:hAnsiTheme="minorHAnsi" w:cstheme="minorHAnsi"/>
          <w:sz w:val="22"/>
          <w:szCs w:val="22"/>
          <w:lang w:eastAsia="nl-NL"/>
        </w:rPr>
        <w:t>nt</w:t>
      </w:r>
      <w:r w:rsidR="00BD545E" w:rsidRPr="001F1331">
        <w:rPr>
          <w:rFonts w:asciiTheme="minorHAnsi" w:hAnsiTheme="minorHAnsi" w:cstheme="minorHAnsi"/>
          <w:sz w:val="22"/>
          <w:szCs w:val="22"/>
          <w:lang w:eastAsia="nl-NL"/>
        </w:rPr>
        <w:t xml:space="preserve"> pas suite à la demande de la </w:t>
      </w:r>
      <w:r w:rsidR="00B518CF">
        <w:rPr>
          <w:rFonts w:asciiTheme="minorHAnsi" w:hAnsiTheme="minorHAnsi" w:cstheme="minorHAnsi"/>
          <w:sz w:val="22"/>
          <w:szCs w:val="22"/>
          <w:lang w:eastAsia="nl-NL"/>
        </w:rPr>
        <w:t>p</w:t>
      </w:r>
      <w:r w:rsidR="00BD545E" w:rsidRPr="001F1331">
        <w:rPr>
          <w:rFonts w:asciiTheme="minorHAnsi" w:hAnsiTheme="minorHAnsi" w:cstheme="minorHAnsi"/>
          <w:sz w:val="22"/>
          <w:szCs w:val="22"/>
          <w:lang w:eastAsia="nl-NL"/>
        </w:rPr>
        <w:t xml:space="preserve">ersonne </w:t>
      </w:r>
      <w:r w:rsidR="00B518CF">
        <w:rPr>
          <w:rFonts w:asciiTheme="minorHAnsi" w:hAnsiTheme="minorHAnsi" w:cstheme="minorHAnsi"/>
          <w:sz w:val="22"/>
          <w:szCs w:val="22"/>
          <w:lang w:eastAsia="nl-NL"/>
        </w:rPr>
        <w:t>c</w:t>
      </w:r>
      <w:r w:rsidR="00BD545E" w:rsidRPr="001F1331">
        <w:rPr>
          <w:rFonts w:asciiTheme="minorHAnsi" w:hAnsiTheme="minorHAnsi" w:cstheme="minorHAnsi"/>
          <w:sz w:val="22"/>
          <w:szCs w:val="22"/>
          <w:lang w:eastAsia="nl-NL"/>
        </w:rPr>
        <w:t>oncernée, le H3C informera la</w:t>
      </w:r>
      <w:r w:rsidR="00B518CF">
        <w:rPr>
          <w:rFonts w:asciiTheme="minorHAnsi" w:hAnsiTheme="minorHAnsi" w:cstheme="minorHAnsi"/>
          <w:sz w:val="22"/>
          <w:szCs w:val="22"/>
          <w:lang w:eastAsia="nl-NL"/>
        </w:rPr>
        <w:t xml:space="preserve"> </w:t>
      </w:r>
      <w:r w:rsidR="00000798">
        <w:rPr>
          <w:rFonts w:asciiTheme="minorHAnsi" w:hAnsiTheme="minorHAnsi" w:cstheme="minorHAnsi"/>
          <w:sz w:val="22"/>
          <w:szCs w:val="22"/>
          <w:lang w:eastAsia="nl-NL"/>
        </w:rPr>
        <w:t>p</w:t>
      </w:r>
      <w:r w:rsidR="00BD545E" w:rsidRPr="001F1331">
        <w:rPr>
          <w:rFonts w:asciiTheme="minorHAnsi" w:hAnsiTheme="minorHAnsi" w:cstheme="minorHAnsi"/>
          <w:sz w:val="22"/>
          <w:szCs w:val="22"/>
          <w:lang w:eastAsia="nl-NL"/>
        </w:rPr>
        <w:t xml:space="preserve">ersonne </w:t>
      </w:r>
      <w:r w:rsidR="00000798">
        <w:rPr>
          <w:rFonts w:asciiTheme="minorHAnsi" w:hAnsiTheme="minorHAnsi" w:cstheme="minorHAnsi"/>
          <w:sz w:val="22"/>
          <w:szCs w:val="22"/>
          <w:lang w:eastAsia="nl-NL"/>
        </w:rPr>
        <w:t>c</w:t>
      </w:r>
      <w:r w:rsidR="00BD545E" w:rsidRPr="001F1331">
        <w:rPr>
          <w:rFonts w:asciiTheme="minorHAnsi" w:hAnsiTheme="minorHAnsi" w:cstheme="minorHAnsi"/>
          <w:sz w:val="22"/>
          <w:szCs w:val="22"/>
          <w:lang w:eastAsia="nl-NL"/>
        </w:rPr>
        <w:t xml:space="preserve">oncernée sans délai et au plus tard dans le mois suivant la réception de la demande des raisons de l’absence de </w:t>
      </w:r>
      <w:r w:rsidR="00BD545E" w:rsidRPr="001F1331">
        <w:rPr>
          <w:rFonts w:asciiTheme="minorHAnsi" w:hAnsiTheme="minorHAnsi" w:cstheme="minorHAnsi"/>
          <w:sz w:val="22"/>
          <w:szCs w:val="22"/>
          <w:lang w:eastAsia="nl-NL"/>
        </w:rPr>
        <w:lastRenderedPageBreak/>
        <w:t xml:space="preserve">suites données à sa demande et de la possibilité de former un recours auprès de </w:t>
      </w:r>
      <w:r w:rsidR="00380217" w:rsidRPr="001F1331">
        <w:rPr>
          <w:rFonts w:asciiTheme="minorHAnsi" w:hAnsiTheme="minorHAnsi" w:cstheme="minorHAnsi"/>
          <w:sz w:val="22"/>
          <w:szCs w:val="22"/>
          <w:lang w:eastAsia="nl-NL"/>
        </w:rPr>
        <w:t>la CNIL</w:t>
      </w:r>
      <w:r w:rsidR="00BD545E" w:rsidRPr="001F1331">
        <w:rPr>
          <w:rFonts w:asciiTheme="minorHAnsi" w:hAnsiTheme="minorHAnsi" w:cstheme="minorHAnsi"/>
          <w:sz w:val="22"/>
          <w:szCs w:val="22"/>
          <w:lang w:eastAsia="nl-NL"/>
        </w:rPr>
        <w:t xml:space="preserve"> et de former un recours juridictionnel ou de recourir au mécanisme de plainte mis en place au sein du PCAOB.</w:t>
      </w:r>
    </w:p>
    <w:p w14:paraId="6056B6E2" w14:textId="6D308D0D" w:rsidR="00586DA0" w:rsidRDefault="00586DA0" w:rsidP="0054319F">
      <w:pPr>
        <w:autoSpaceDE w:val="0"/>
        <w:autoSpaceDN w:val="0"/>
        <w:adjustRightInd w:val="0"/>
        <w:jc w:val="both"/>
        <w:rPr>
          <w:rFonts w:ascii="Calibri" w:eastAsia="Times New Roman" w:hAnsi="Calibri" w:cs="Calibri"/>
          <w:sz w:val="22"/>
          <w:szCs w:val="22"/>
          <w:lang w:eastAsia="nl-NL"/>
        </w:rPr>
      </w:pPr>
      <w:r>
        <w:rPr>
          <w:rFonts w:ascii="Calibri" w:hAnsi="Calibri" w:cs="Calibri"/>
          <w:sz w:val="22"/>
          <w:szCs w:val="22"/>
          <w:lang w:eastAsia="nl-NL"/>
        </w:rPr>
        <w:t xml:space="preserve">Les garanties relatives aux droits des personnes concernées sont subordonnées aux obligations légales incombant </w:t>
      </w:r>
      <w:r w:rsidR="00A527E4">
        <w:rPr>
          <w:rFonts w:ascii="Calibri" w:hAnsi="Calibri" w:cs="Calibri"/>
          <w:sz w:val="22"/>
          <w:szCs w:val="22"/>
          <w:lang w:eastAsia="nl-NL"/>
        </w:rPr>
        <w:t>au H3C et au PCAOB</w:t>
      </w:r>
      <w:r>
        <w:rPr>
          <w:rFonts w:ascii="Calibri" w:hAnsi="Calibri" w:cs="Calibri"/>
          <w:sz w:val="22"/>
          <w:szCs w:val="22"/>
          <w:lang w:eastAsia="nl-NL"/>
        </w:rPr>
        <w:t xml:space="preserve"> de ne pas divulguer d’informations confidentielles en vertu du secret professionnel ou d’autres obligations légales. Ces garanties peuvent être limitées afin d’éviter tout préjudice ou atteinte à l’exercice des missions de supervision ou de sanction dont sont chargées </w:t>
      </w:r>
      <w:r w:rsidR="00A527E4">
        <w:rPr>
          <w:rFonts w:ascii="Calibri" w:hAnsi="Calibri" w:cs="Calibri"/>
          <w:sz w:val="22"/>
          <w:szCs w:val="22"/>
          <w:lang w:eastAsia="nl-NL"/>
        </w:rPr>
        <w:t>le H3C et le PCAOB</w:t>
      </w:r>
      <w:r>
        <w:rPr>
          <w:rFonts w:ascii="Calibri" w:hAnsi="Calibri" w:cs="Calibri"/>
          <w:sz w:val="22"/>
          <w:szCs w:val="22"/>
          <w:lang w:eastAsia="nl-NL"/>
        </w:rPr>
        <w:t xml:space="preserve"> dans le cadre de l’exercice de l’autorité publique dont </w:t>
      </w:r>
      <w:r w:rsidR="00A527E4">
        <w:rPr>
          <w:rFonts w:ascii="Calibri" w:hAnsi="Calibri" w:cs="Calibri"/>
          <w:sz w:val="22"/>
          <w:szCs w:val="22"/>
          <w:lang w:eastAsia="nl-NL"/>
        </w:rPr>
        <w:t>ils</w:t>
      </w:r>
      <w:r>
        <w:rPr>
          <w:rFonts w:ascii="Calibri" w:hAnsi="Calibri" w:cs="Calibri"/>
          <w:sz w:val="22"/>
          <w:szCs w:val="22"/>
          <w:lang w:eastAsia="nl-NL"/>
        </w:rPr>
        <w:t xml:space="preserve"> sont investis, telles que la surveillance ou l’évaluation du respect des lois applicables ou la prévention des infractions présumées ou les enquêtes s’y rapportant ;</w:t>
      </w:r>
      <w:r>
        <w:rPr>
          <w:rFonts w:ascii="Calibri" w:hAnsi="Calibri" w:cs="Calibri"/>
          <w:sz w:val="22"/>
          <w:szCs w:val="22"/>
        </w:rPr>
        <w:t xml:space="preserve"> p</w:t>
      </w:r>
      <w:r>
        <w:rPr>
          <w:rFonts w:ascii="Calibri" w:hAnsi="Calibri" w:cs="Calibri"/>
          <w:sz w:val="22"/>
          <w:szCs w:val="22"/>
          <w:lang w:eastAsia="nl-NL"/>
        </w:rPr>
        <w:t xml:space="preserve">our des motifs importants d’intérêt public général reconnus comme tels aux Etats-Unis et en France ou dans l’Union européenne, y compris dans l’esprit de réciprocité de la coopération internationale ; ou pour la supervision des personnes physiques et des entités réglementées. </w:t>
      </w:r>
    </w:p>
    <w:p w14:paraId="0145BB58" w14:textId="77777777" w:rsidR="009655E9" w:rsidRPr="009655E9" w:rsidRDefault="009655E9" w:rsidP="0054319F">
      <w:pPr>
        <w:pStyle w:val="Paragraphedeliste"/>
        <w:autoSpaceDE w:val="0"/>
        <w:autoSpaceDN w:val="0"/>
        <w:adjustRightInd w:val="0"/>
        <w:spacing w:line="240" w:lineRule="auto"/>
        <w:ind w:left="0"/>
        <w:jc w:val="both"/>
        <w:rPr>
          <w:rFonts w:eastAsia="Times New Roman" w:cs="Calibri"/>
          <w:lang w:eastAsia="nl-NL"/>
        </w:rPr>
      </w:pPr>
    </w:p>
    <w:p w14:paraId="641DD39E" w14:textId="3B9D629E" w:rsidR="0027640A" w:rsidRPr="00D440FB" w:rsidRDefault="00D440FB" w:rsidP="0054319F">
      <w:pPr>
        <w:pStyle w:val="Paragraphedeliste"/>
        <w:numPr>
          <w:ilvl w:val="0"/>
          <w:numId w:val="13"/>
        </w:numPr>
        <w:shd w:val="clear" w:color="auto" w:fill="FFFFFF"/>
        <w:spacing w:after="0" w:line="240" w:lineRule="auto"/>
        <w:jc w:val="both"/>
        <w:rPr>
          <w:rFonts w:eastAsia="Times New Roman" w:cs="Arial"/>
          <w:b/>
          <w:bCs/>
          <w:lang w:eastAsia="fr-FR"/>
        </w:rPr>
      </w:pPr>
      <w:r w:rsidRPr="00D440FB">
        <w:rPr>
          <w:rFonts w:cs="Calibri"/>
          <w:b/>
          <w:bCs/>
          <w:color w:val="272727"/>
        </w:rPr>
        <w:t>C</w:t>
      </w:r>
      <w:r w:rsidR="0027640A" w:rsidRPr="00D440FB">
        <w:rPr>
          <w:rFonts w:cs="Calibri"/>
          <w:b/>
          <w:bCs/>
          <w:color w:val="272727"/>
        </w:rPr>
        <w:t>oordonnées de la personne auprès de laquelle un différend ou une réclamation peut être soumis</w:t>
      </w:r>
    </w:p>
    <w:p w14:paraId="3B23699C" w14:textId="7DCFE681" w:rsidR="00602ABE" w:rsidRDefault="00602ABE" w:rsidP="0054319F">
      <w:pPr>
        <w:pStyle w:val="Default"/>
        <w:spacing w:after="200"/>
        <w:jc w:val="both"/>
        <w:rPr>
          <w:rFonts w:ascii="Calibri" w:hAnsi="Calibri" w:cs="Calibri"/>
          <w:sz w:val="22"/>
          <w:szCs w:val="22"/>
          <w:lang w:eastAsia="nl-NL"/>
        </w:rPr>
      </w:pPr>
      <w:r>
        <w:rPr>
          <w:rFonts w:ascii="Calibri" w:hAnsi="Calibri" w:cs="Calibri"/>
          <w:sz w:val="22"/>
          <w:szCs w:val="22"/>
          <w:lang w:eastAsia="nl-NL"/>
        </w:rPr>
        <w:t>L’article</w:t>
      </w:r>
      <w:r w:rsidR="00A55A26">
        <w:rPr>
          <w:rFonts w:ascii="Calibri" w:hAnsi="Calibri" w:cs="Calibri"/>
          <w:sz w:val="22"/>
          <w:szCs w:val="22"/>
          <w:lang w:eastAsia="nl-NL"/>
        </w:rPr>
        <w:t xml:space="preserve"> III.8 de l’</w:t>
      </w:r>
      <w:r w:rsidR="002203D1">
        <w:rPr>
          <w:rFonts w:ascii="Calibri" w:hAnsi="Calibri" w:cs="Calibri"/>
          <w:sz w:val="22"/>
          <w:szCs w:val="22"/>
          <w:lang w:eastAsia="nl-NL"/>
        </w:rPr>
        <w:t>A</w:t>
      </w:r>
      <w:r w:rsidR="00A55A26">
        <w:rPr>
          <w:rFonts w:ascii="Calibri" w:hAnsi="Calibri" w:cs="Calibri"/>
          <w:sz w:val="22"/>
          <w:szCs w:val="22"/>
          <w:lang w:eastAsia="nl-NL"/>
        </w:rPr>
        <w:t xml:space="preserve">ccord précise </w:t>
      </w:r>
      <w:r w:rsidR="002203D1">
        <w:rPr>
          <w:rFonts w:ascii="Calibri" w:hAnsi="Calibri" w:cs="Calibri"/>
          <w:sz w:val="22"/>
          <w:szCs w:val="22"/>
          <w:lang w:eastAsia="nl-NL"/>
        </w:rPr>
        <w:t>les modalités des recours qui peuvent être exercées par les personnes concernées</w:t>
      </w:r>
      <w:r w:rsidR="00332B6E">
        <w:rPr>
          <w:rFonts w:ascii="Calibri" w:hAnsi="Calibri" w:cs="Calibri"/>
          <w:sz w:val="22"/>
          <w:szCs w:val="22"/>
          <w:lang w:eastAsia="nl-NL"/>
        </w:rPr>
        <w:t>.</w:t>
      </w:r>
    </w:p>
    <w:p w14:paraId="081B7B5A" w14:textId="6C4F259A" w:rsidR="007F7ED6" w:rsidRDefault="007F7ED6" w:rsidP="0054319F">
      <w:pPr>
        <w:pStyle w:val="Default"/>
        <w:spacing w:after="200"/>
        <w:jc w:val="both"/>
        <w:rPr>
          <w:rFonts w:ascii="Calibri" w:hAnsi="Calibri" w:cs="Calibri"/>
          <w:sz w:val="22"/>
          <w:szCs w:val="22"/>
          <w:lang w:eastAsia="nl-NL"/>
        </w:rPr>
      </w:pPr>
      <w:r>
        <w:rPr>
          <w:rFonts w:ascii="Calibri" w:hAnsi="Calibri" w:cs="Calibri"/>
          <w:sz w:val="22"/>
          <w:szCs w:val="22"/>
          <w:lang w:eastAsia="nl-NL"/>
        </w:rPr>
        <w:t>Tout di</w:t>
      </w:r>
      <w:r w:rsidR="00CD5BAC">
        <w:rPr>
          <w:rFonts w:ascii="Calibri" w:hAnsi="Calibri" w:cs="Calibri"/>
          <w:sz w:val="22"/>
          <w:szCs w:val="22"/>
          <w:lang w:eastAsia="nl-NL"/>
        </w:rPr>
        <w:t>ff</w:t>
      </w:r>
      <w:r>
        <w:rPr>
          <w:rFonts w:ascii="Calibri" w:hAnsi="Calibri" w:cs="Calibri"/>
          <w:sz w:val="22"/>
          <w:szCs w:val="22"/>
          <w:lang w:eastAsia="nl-NL"/>
        </w:rPr>
        <w:t xml:space="preserve">érend ou réclamation introduit par une </w:t>
      </w:r>
      <w:r w:rsidR="002E7CBB">
        <w:rPr>
          <w:rFonts w:ascii="Calibri" w:hAnsi="Calibri" w:cs="Calibri"/>
          <w:sz w:val="22"/>
          <w:szCs w:val="22"/>
          <w:lang w:eastAsia="nl-NL"/>
        </w:rPr>
        <w:t>p</w:t>
      </w:r>
      <w:r>
        <w:rPr>
          <w:rFonts w:ascii="Calibri" w:hAnsi="Calibri" w:cs="Calibri"/>
          <w:sz w:val="22"/>
          <w:szCs w:val="22"/>
          <w:lang w:eastAsia="nl-NL"/>
        </w:rPr>
        <w:t xml:space="preserve">ersonne </w:t>
      </w:r>
      <w:r w:rsidR="002E7CBB">
        <w:rPr>
          <w:rFonts w:ascii="Calibri" w:hAnsi="Calibri" w:cs="Calibri"/>
          <w:sz w:val="22"/>
          <w:szCs w:val="22"/>
          <w:lang w:eastAsia="nl-NL"/>
        </w:rPr>
        <w:t>c</w:t>
      </w:r>
      <w:r>
        <w:rPr>
          <w:rFonts w:ascii="Calibri" w:hAnsi="Calibri" w:cs="Calibri"/>
          <w:sz w:val="22"/>
          <w:szCs w:val="22"/>
          <w:lang w:eastAsia="nl-NL"/>
        </w:rPr>
        <w:t xml:space="preserve">oncernée à propos du </w:t>
      </w:r>
      <w:r w:rsidR="002E7CBB">
        <w:rPr>
          <w:rFonts w:ascii="Calibri" w:hAnsi="Calibri" w:cs="Calibri"/>
          <w:sz w:val="22"/>
          <w:szCs w:val="22"/>
          <w:lang w:eastAsia="nl-NL"/>
        </w:rPr>
        <w:t>t</w:t>
      </w:r>
      <w:r>
        <w:rPr>
          <w:rFonts w:ascii="Calibri" w:hAnsi="Calibri" w:cs="Calibri"/>
          <w:sz w:val="22"/>
          <w:szCs w:val="22"/>
          <w:lang w:eastAsia="nl-NL"/>
        </w:rPr>
        <w:t xml:space="preserve">raitement de ses </w:t>
      </w:r>
      <w:r w:rsidR="002E7CBB">
        <w:rPr>
          <w:rFonts w:ascii="Calibri" w:hAnsi="Calibri" w:cs="Calibri"/>
          <w:sz w:val="22"/>
          <w:szCs w:val="22"/>
          <w:lang w:eastAsia="nl-NL"/>
        </w:rPr>
        <w:t>d</w:t>
      </w:r>
      <w:r>
        <w:rPr>
          <w:rFonts w:ascii="Calibri" w:hAnsi="Calibri" w:cs="Calibri"/>
          <w:sz w:val="22"/>
          <w:szCs w:val="22"/>
          <w:lang w:eastAsia="nl-NL"/>
        </w:rPr>
        <w:t xml:space="preserve">onnées à </w:t>
      </w:r>
      <w:r w:rsidR="002E7CBB">
        <w:rPr>
          <w:rFonts w:ascii="Calibri" w:hAnsi="Calibri" w:cs="Calibri"/>
          <w:sz w:val="22"/>
          <w:szCs w:val="22"/>
          <w:lang w:eastAsia="nl-NL"/>
        </w:rPr>
        <w:t>c</w:t>
      </w:r>
      <w:r>
        <w:rPr>
          <w:rFonts w:ascii="Calibri" w:hAnsi="Calibri" w:cs="Calibri"/>
          <w:sz w:val="22"/>
          <w:szCs w:val="22"/>
          <w:lang w:eastAsia="nl-NL"/>
        </w:rPr>
        <w:t xml:space="preserve">aractère </w:t>
      </w:r>
      <w:r w:rsidR="007107AE">
        <w:rPr>
          <w:rFonts w:ascii="Calibri" w:hAnsi="Calibri" w:cs="Calibri"/>
          <w:sz w:val="22"/>
          <w:szCs w:val="22"/>
          <w:lang w:eastAsia="nl-NL"/>
        </w:rPr>
        <w:t>p</w:t>
      </w:r>
      <w:r>
        <w:rPr>
          <w:rFonts w:ascii="Calibri" w:hAnsi="Calibri" w:cs="Calibri"/>
          <w:sz w:val="22"/>
          <w:szCs w:val="22"/>
          <w:lang w:eastAsia="nl-NL"/>
        </w:rPr>
        <w:t xml:space="preserve">ersonnel peut être soumis au H3C, au PCAOB, ou aux deux </w:t>
      </w:r>
      <w:r w:rsidR="005C35E0">
        <w:rPr>
          <w:rFonts w:ascii="Calibri" w:hAnsi="Calibri" w:cs="Calibri"/>
          <w:sz w:val="22"/>
          <w:szCs w:val="22"/>
          <w:lang w:eastAsia="nl-NL"/>
        </w:rPr>
        <w:t>p</w:t>
      </w:r>
      <w:r>
        <w:rPr>
          <w:rFonts w:ascii="Calibri" w:hAnsi="Calibri" w:cs="Calibri"/>
          <w:sz w:val="22"/>
          <w:szCs w:val="22"/>
          <w:lang w:eastAsia="nl-NL"/>
        </w:rPr>
        <w:t>arties, selon le cas applicable</w:t>
      </w:r>
      <w:r w:rsidR="00417F89">
        <w:rPr>
          <w:rFonts w:ascii="Calibri" w:hAnsi="Calibri" w:cs="Calibri"/>
          <w:sz w:val="22"/>
          <w:szCs w:val="22"/>
          <w:lang w:eastAsia="nl-NL"/>
        </w:rPr>
        <w:t>.</w:t>
      </w:r>
      <w:r>
        <w:rPr>
          <w:rFonts w:ascii="Calibri" w:hAnsi="Calibri" w:cs="Calibri"/>
          <w:sz w:val="22"/>
          <w:szCs w:val="22"/>
          <w:lang w:eastAsia="nl-NL"/>
        </w:rPr>
        <w:t xml:space="preserve"> </w:t>
      </w:r>
    </w:p>
    <w:p w14:paraId="551F00DA" w14:textId="13BEC970" w:rsidR="00EF02CE" w:rsidRDefault="007F7ED6" w:rsidP="0054319F">
      <w:pPr>
        <w:pStyle w:val="Default"/>
        <w:spacing w:after="200"/>
        <w:jc w:val="both"/>
        <w:rPr>
          <w:rFonts w:ascii="Calibri" w:hAnsi="Calibri" w:cs="Calibri"/>
          <w:sz w:val="22"/>
          <w:szCs w:val="22"/>
          <w:lang w:eastAsia="nl-NL"/>
        </w:rPr>
      </w:pPr>
      <w:r>
        <w:rPr>
          <w:rFonts w:ascii="Calibri" w:hAnsi="Calibri" w:cs="Calibri"/>
          <w:sz w:val="22"/>
          <w:szCs w:val="22"/>
          <w:lang w:eastAsia="nl-NL"/>
        </w:rPr>
        <w:t xml:space="preserve">Toute question ou plainte concernant le </w:t>
      </w:r>
      <w:r w:rsidR="00681950">
        <w:rPr>
          <w:rFonts w:ascii="Calibri" w:hAnsi="Calibri" w:cs="Calibri"/>
          <w:sz w:val="22"/>
          <w:szCs w:val="22"/>
          <w:lang w:eastAsia="nl-NL"/>
        </w:rPr>
        <w:t>t</w:t>
      </w:r>
      <w:r>
        <w:rPr>
          <w:rFonts w:ascii="Calibri" w:hAnsi="Calibri" w:cs="Calibri"/>
          <w:sz w:val="22"/>
          <w:szCs w:val="22"/>
          <w:lang w:eastAsia="nl-NL"/>
        </w:rPr>
        <w:t xml:space="preserve">raitement des </w:t>
      </w:r>
      <w:r w:rsidR="00681950">
        <w:rPr>
          <w:rFonts w:ascii="Calibri" w:hAnsi="Calibri" w:cs="Calibri"/>
          <w:sz w:val="22"/>
          <w:szCs w:val="22"/>
          <w:lang w:eastAsia="nl-NL"/>
        </w:rPr>
        <w:t>d</w:t>
      </w:r>
      <w:r>
        <w:rPr>
          <w:rFonts w:ascii="Calibri" w:hAnsi="Calibri" w:cs="Calibri"/>
          <w:sz w:val="22"/>
          <w:szCs w:val="22"/>
          <w:lang w:eastAsia="nl-NL"/>
        </w:rPr>
        <w:t xml:space="preserve">onnées à </w:t>
      </w:r>
      <w:r w:rsidR="00681950">
        <w:rPr>
          <w:rFonts w:ascii="Calibri" w:hAnsi="Calibri" w:cs="Calibri"/>
          <w:sz w:val="22"/>
          <w:szCs w:val="22"/>
          <w:lang w:eastAsia="nl-NL"/>
        </w:rPr>
        <w:t>c</w:t>
      </w:r>
      <w:r>
        <w:rPr>
          <w:rFonts w:ascii="Calibri" w:hAnsi="Calibri" w:cs="Calibri"/>
          <w:sz w:val="22"/>
          <w:szCs w:val="22"/>
          <w:lang w:eastAsia="nl-NL"/>
        </w:rPr>
        <w:t xml:space="preserve">aractère </w:t>
      </w:r>
      <w:r w:rsidR="00681950">
        <w:rPr>
          <w:rFonts w:ascii="Calibri" w:hAnsi="Calibri" w:cs="Calibri"/>
          <w:sz w:val="22"/>
          <w:szCs w:val="22"/>
          <w:lang w:eastAsia="nl-NL"/>
        </w:rPr>
        <w:t>p</w:t>
      </w:r>
      <w:r>
        <w:rPr>
          <w:rFonts w:ascii="Calibri" w:hAnsi="Calibri" w:cs="Calibri"/>
          <w:sz w:val="22"/>
          <w:szCs w:val="22"/>
          <w:lang w:eastAsia="nl-NL"/>
        </w:rPr>
        <w:t>ersonnel par le PCAOB peut être adressée directement au « </w:t>
      </w:r>
      <w:r>
        <w:rPr>
          <w:rFonts w:ascii="Calibri" w:hAnsi="Calibri" w:cs="Calibri"/>
          <w:i/>
          <w:iCs/>
          <w:sz w:val="22"/>
          <w:szCs w:val="22"/>
          <w:lang w:eastAsia="nl-NL"/>
        </w:rPr>
        <w:t xml:space="preserve">Center for </w:t>
      </w:r>
      <w:proofErr w:type="spellStart"/>
      <w:r>
        <w:rPr>
          <w:rFonts w:ascii="Calibri" w:hAnsi="Calibri" w:cs="Calibri"/>
          <w:i/>
          <w:iCs/>
          <w:sz w:val="22"/>
          <w:szCs w:val="22"/>
          <w:lang w:eastAsia="nl-NL"/>
        </w:rPr>
        <w:t>Enforcement</w:t>
      </w:r>
      <w:proofErr w:type="spellEnd"/>
      <w:r>
        <w:rPr>
          <w:rFonts w:ascii="Calibri" w:hAnsi="Calibri" w:cs="Calibri"/>
          <w:i/>
          <w:iCs/>
          <w:sz w:val="22"/>
          <w:szCs w:val="22"/>
          <w:lang w:eastAsia="nl-NL"/>
        </w:rPr>
        <w:t xml:space="preserve"> Tips, </w:t>
      </w:r>
      <w:proofErr w:type="spellStart"/>
      <w:r>
        <w:rPr>
          <w:rFonts w:ascii="Calibri" w:hAnsi="Calibri" w:cs="Calibri"/>
          <w:i/>
          <w:iCs/>
          <w:sz w:val="22"/>
          <w:szCs w:val="22"/>
          <w:lang w:eastAsia="nl-NL"/>
        </w:rPr>
        <w:t>Referrals</w:t>
      </w:r>
      <w:proofErr w:type="spellEnd"/>
      <w:r>
        <w:rPr>
          <w:rFonts w:ascii="Calibri" w:hAnsi="Calibri" w:cs="Calibri"/>
          <w:i/>
          <w:iCs/>
          <w:sz w:val="22"/>
          <w:szCs w:val="22"/>
          <w:lang w:eastAsia="nl-NL"/>
        </w:rPr>
        <w:t xml:space="preserve">, Complaints and </w:t>
      </w:r>
      <w:proofErr w:type="spellStart"/>
      <w:r>
        <w:rPr>
          <w:rFonts w:ascii="Calibri" w:hAnsi="Calibri" w:cs="Calibri"/>
          <w:i/>
          <w:iCs/>
          <w:sz w:val="22"/>
          <w:szCs w:val="22"/>
          <w:lang w:eastAsia="nl-NL"/>
        </w:rPr>
        <w:t>Other</w:t>
      </w:r>
      <w:proofErr w:type="spellEnd"/>
      <w:r>
        <w:rPr>
          <w:rFonts w:ascii="Calibri" w:hAnsi="Calibri" w:cs="Calibri"/>
          <w:i/>
          <w:iCs/>
          <w:sz w:val="22"/>
          <w:szCs w:val="22"/>
          <w:lang w:eastAsia="nl-NL"/>
        </w:rPr>
        <w:t xml:space="preserve"> Information</w:t>
      </w:r>
      <w:r>
        <w:rPr>
          <w:rFonts w:ascii="Calibri" w:hAnsi="Calibri" w:cs="Calibri"/>
          <w:sz w:val="22"/>
          <w:szCs w:val="22"/>
          <w:lang w:eastAsia="nl-NL"/>
        </w:rPr>
        <w:t> » du PCAOB, notamment par l’intermédiaire du « </w:t>
      </w:r>
      <w:r>
        <w:rPr>
          <w:rFonts w:ascii="Calibri" w:hAnsi="Calibri" w:cs="Calibri"/>
          <w:i/>
          <w:iCs/>
          <w:sz w:val="22"/>
          <w:szCs w:val="22"/>
          <w:lang w:eastAsia="nl-NL"/>
        </w:rPr>
        <w:t xml:space="preserve">Tips and </w:t>
      </w:r>
      <w:proofErr w:type="spellStart"/>
      <w:r>
        <w:rPr>
          <w:rFonts w:ascii="Calibri" w:hAnsi="Calibri" w:cs="Calibri"/>
          <w:i/>
          <w:iCs/>
          <w:sz w:val="22"/>
          <w:szCs w:val="22"/>
          <w:lang w:eastAsia="nl-NL"/>
        </w:rPr>
        <w:t>Referral</w:t>
      </w:r>
      <w:proofErr w:type="spellEnd"/>
      <w:r>
        <w:rPr>
          <w:rFonts w:ascii="Calibri" w:hAnsi="Calibri" w:cs="Calibri"/>
          <w:i/>
          <w:iCs/>
          <w:sz w:val="22"/>
          <w:szCs w:val="22"/>
          <w:lang w:eastAsia="nl-NL"/>
        </w:rPr>
        <w:t xml:space="preserve"> Center</w:t>
      </w:r>
      <w:r>
        <w:rPr>
          <w:rFonts w:ascii="Calibri" w:hAnsi="Calibri" w:cs="Calibri"/>
          <w:sz w:val="22"/>
          <w:szCs w:val="22"/>
          <w:lang w:eastAsia="nl-NL"/>
        </w:rPr>
        <w:t> », via le formulaire en ligne sur le site internet</w:t>
      </w:r>
      <w:r w:rsidR="00255933">
        <w:rPr>
          <w:rFonts w:ascii="Calibri" w:hAnsi="Calibri" w:cs="Calibri"/>
          <w:sz w:val="22"/>
          <w:szCs w:val="22"/>
          <w:lang w:eastAsia="nl-NL"/>
        </w:rPr>
        <w:t xml:space="preserve"> du PCAOB</w:t>
      </w:r>
      <w:r>
        <w:rPr>
          <w:rFonts w:ascii="Calibri" w:hAnsi="Calibri" w:cs="Calibri"/>
          <w:sz w:val="22"/>
          <w:szCs w:val="22"/>
          <w:lang w:eastAsia="nl-NL"/>
        </w:rPr>
        <w:t xml:space="preserve">, par courrier électronique, lettre ou téléphone, ou peut être adressées au H3C, en envoyant ces informations à </w:t>
      </w:r>
      <w:hyperlink r:id="rId9" w:history="1">
        <w:r w:rsidR="00EF02CE" w:rsidRPr="007074C2">
          <w:rPr>
            <w:rStyle w:val="Lienhypertexte"/>
            <w:rFonts w:ascii="Calibri" w:hAnsi="Calibri" w:cs="Calibri"/>
            <w:sz w:val="22"/>
            <w:szCs w:val="22"/>
            <w:lang w:eastAsia="nl-NL"/>
          </w:rPr>
          <w:t>dpd@h3c.org</w:t>
        </w:r>
      </w:hyperlink>
      <w:r>
        <w:rPr>
          <w:rFonts w:ascii="Calibri" w:hAnsi="Calibri" w:cs="Calibri"/>
          <w:sz w:val="22"/>
          <w:szCs w:val="22"/>
          <w:lang w:eastAsia="nl-NL"/>
        </w:rPr>
        <w:t>.</w:t>
      </w:r>
    </w:p>
    <w:p w14:paraId="06BFB312" w14:textId="77777777" w:rsidR="00726C5A" w:rsidRDefault="00D31AD5" w:rsidP="0054319F">
      <w:pPr>
        <w:pStyle w:val="Default"/>
        <w:spacing w:after="200"/>
        <w:jc w:val="both"/>
        <w:rPr>
          <w:rFonts w:ascii="Calibri" w:hAnsi="Calibri" w:cs="Calibri"/>
          <w:sz w:val="22"/>
          <w:szCs w:val="22"/>
          <w:lang w:eastAsia="nl-NL"/>
        </w:rPr>
      </w:pPr>
      <w:r>
        <w:rPr>
          <w:rFonts w:ascii="Calibri" w:hAnsi="Calibri" w:cs="Calibri"/>
          <w:sz w:val="22"/>
          <w:szCs w:val="22"/>
          <w:lang w:eastAsia="nl-NL"/>
        </w:rPr>
        <w:t>L’Accord prévoit égal</w:t>
      </w:r>
      <w:r w:rsidR="006528C1">
        <w:rPr>
          <w:rFonts w:ascii="Calibri" w:hAnsi="Calibri" w:cs="Calibri"/>
          <w:sz w:val="22"/>
          <w:szCs w:val="22"/>
          <w:lang w:eastAsia="nl-NL"/>
        </w:rPr>
        <w:t>e</w:t>
      </w:r>
      <w:r>
        <w:rPr>
          <w:rFonts w:ascii="Calibri" w:hAnsi="Calibri" w:cs="Calibri"/>
          <w:sz w:val="22"/>
          <w:szCs w:val="22"/>
          <w:lang w:eastAsia="nl-NL"/>
        </w:rPr>
        <w:t>ment</w:t>
      </w:r>
      <w:r w:rsidR="007F7ED6">
        <w:rPr>
          <w:rFonts w:ascii="Calibri" w:hAnsi="Calibri" w:cs="Calibri"/>
          <w:sz w:val="22"/>
          <w:szCs w:val="22"/>
          <w:lang w:eastAsia="nl-NL"/>
        </w:rPr>
        <w:t xml:space="preserve"> un mécanisme approprié de règlement des différends mené par un organe indépendant au sein du PCAOB. La décision prise par le biais de ce mécanisme de règlement des différends peut être soumise à un deuxième examen indépendant, qui serait mené par un organe indépendant distinct. Le mécanisme de règlement des différends et le processus du deuxième examen sont décrits à l'</w:t>
      </w:r>
      <w:r w:rsidR="007F7ED6">
        <w:rPr>
          <w:rFonts w:ascii="Calibri" w:hAnsi="Calibri" w:cs="Calibri"/>
          <w:b/>
          <w:bCs/>
          <w:sz w:val="22"/>
          <w:szCs w:val="22"/>
          <w:lang w:eastAsia="nl-NL"/>
        </w:rPr>
        <w:t>Annexe</w:t>
      </w:r>
      <w:r w:rsidR="007F7ED6">
        <w:rPr>
          <w:rFonts w:ascii="Calibri" w:hAnsi="Calibri" w:cs="Calibri"/>
          <w:sz w:val="22"/>
          <w:szCs w:val="22"/>
          <w:lang w:eastAsia="nl-NL"/>
        </w:rPr>
        <w:t xml:space="preserve"> </w:t>
      </w:r>
      <w:r w:rsidR="007F7ED6">
        <w:rPr>
          <w:rFonts w:ascii="Calibri" w:hAnsi="Calibri" w:cs="Calibri"/>
          <w:b/>
          <w:bCs/>
          <w:sz w:val="22"/>
          <w:szCs w:val="22"/>
          <w:lang w:eastAsia="nl-NL"/>
        </w:rPr>
        <w:t>III</w:t>
      </w:r>
      <w:r w:rsidR="007F7ED6">
        <w:rPr>
          <w:rFonts w:ascii="Calibri" w:hAnsi="Calibri" w:cs="Calibri"/>
          <w:sz w:val="22"/>
          <w:szCs w:val="22"/>
          <w:lang w:eastAsia="nl-NL"/>
        </w:rPr>
        <w:t xml:space="preserve"> </w:t>
      </w:r>
      <w:r w:rsidR="00E0221B">
        <w:rPr>
          <w:rFonts w:ascii="Calibri" w:hAnsi="Calibri" w:cs="Calibri"/>
          <w:sz w:val="22"/>
          <w:szCs w:val="22"/>
          <w:lang w:eastAsia="nl-NL"/>
        </w:rPr>
        <w:t>de l’Accord</w:t>
      </w:r>
      <w:r w:rsidR="007F7ED6">
        <w:rPr>
          <w:rFonts w:ascii="Calibri" w:hAnsi="Calibri" w:cs="Calibri"/>
          <w:sz w:val="22"/>
          <w:szCs w:val="22"/>
          <w:lang w:eastAsia="nl-NL"/>
        </w:rPr>
        <w:t>.</w:t>
      </w:r>
    </w:p>
    <w:p w14:paraId="2ABF87E2" w14:textId="22F33C3E" w:rsidR="00244C1D" w:rsidRDefault="00726C5A" w:rsidP="0054319F">
      <w:pPr>
        <w:pStyle w:val="Default"/>
        <w:spacing w:after="200"/>
        <w:jc w:val="both"/>
        <w:rPr>
          <w:rFonts w:ascii="Calibri" w:hAnsi="Calibri" w:cs="Calibri"/>
          <w:sz w:val="22"/>
          <w:szCs w:val="22"/>
          <w:lang w:eastAsia="nl-NL"/>
        </w:rPr>
      </w:pPr>
      <w:r>
        <w:rPr>
          <w:rFonts w:ascii="Calibri" w:hAnsi="Calibri" w:cs="Calibri"/>
          <w:sz w:val="22"/>
          <w:szCs w:val="22"/>
          <w:lang w:eastAsia="nl-NL"/>
        </w:rPr>
        <w:t>La</w:t>
      </w:r>
      <w:r w:rsidR="007F7ED6">
        <w:rPr>
          <w:rFonts w:ascii="Calibri" w:hAnsi="Calibri" w:cs="Calibri"/>
          <w:sz w:val="22"/>
          <w:szCs w:val="22"/>
          <w:lang w:eastAsia="nl-NL"/>
        </w:rPr>
        <w:t xml:space="preserve"> </w:t>
      </w:r>
      <w:r>
        <w:rPr>
          <w:rFonts w:ascii="Calibri" w:hAnsi="Calibri" w:cs="Calibri"/>
          <w:sz w:val="22"/>
          <w:szCs w:val="22"/>
          <w:lang w:eastAsia="nl-NL"/>
        </w:rPr>
        <w:t>p</w:t>
      </w:r>
      <w:r w:rsidR="007F7ED6">
        <w:rPr>
          <w:rFonts w:ascii="Calibri" w:hAnsi="Calibri" w:cs="Calibri"/>
          <w:sz w:val="22"/>
          <w:szCs w:val="22"/>
          <w:lang w:eastAsia="nl-NL"/>
        </w:rPr>
        <w:t xml:space="preserve">ersonne </w:t>
      </w:r>
      <w:r>
        <w:rPr>
          <w:rFonts w:ascii="Calibri" w:hAnsi="Calibri" w:cs="Calibri"/>
          <w:sz w:val="22"/>
          <w:szCs w:val="22"/>
          <w:lang w:eastAsia="nl-NL"/>
        </w:rPr>
        <w:t>c</w:t>
      </w:r>
      <w:r w:rsidR="007F7ED6">
        <w:rPr>
          <w:rFonts w:ascii="Calibri" w:hAnsi="Calibri" w:cs="Calibri"/>
          <w:sz w:val="22"/>
          <w:szCs w:val="22"/>
          <w:lang w:eastAsia="nl-NL"/>
        </w:rPr>
        <w:t xml:space="preserve">oncernée peut </w:t>
      </w:r>
      <w:r w:rsidR="00E66ECF">
        <w:rPr>
          <w:rFonts w:ascii="Calibri" w:hAnsi="Calibri" w:cs="Calibri"/>
          <w:sz w:val="22"/>
          <w:szCs w:val="22"/>
          <w:lang w:eastAsia="nl-NL"/>
        </w:rPr>
        <w:t>également</w:t>
      </w:r>
      <w:r>
        <w:rPr>
          <w:rFonts w:ascii="Calibri" w:hAnsi="Calibri" w:cs="Calibri"/>
          <w:sz w:val="22"/>
          <w:szCs w:val="22"/>
          <w:lang w:eastAsia="nl-NL"/>
        </w:rPr>
        <w:t xml:space="preserve"> </w:t>
      </w:r>
      <w:r w:rsidR="007F7ED6">
        <w:rPr>
          <w:rFonts w:ascii="Calibri" w:hAnsi="Calibri" w:cs="Calibri"/>
          <w:sz w:val="22"/>
          <w:szCs w:val="22"/>
          <w:lang w:eastAsia="nl-NL"/>
        </w:rPr>
        <w:t>exercer ses droits de recours judiciaire ou administratif (y compris en matière d’indemnisation) conformément à la loi française de protection des données.</w:t>
      </w:r>
    </w:p>
    <w:p w14:paraId="1D7B314E" w14:textId="654BDAC5" w:rsidR="007E0F43" w:rsidRPr="008766CD" w:rsidRDefault="007E0F43" w:rsidP="006A4BB2">
      <w:pPr>
        <w:pStyle w:val="Default"/>
        <w:spacing w:after="200" w:line="276" w:lineRule="auto"/>
        <w:rPr>
          <w:rFonts w:ascii="Calibri" w:hAnsi="Calibri" w:cs="Calibri"/>
          <w:sz w:val="22"/>
          <w:szCs w:val="22"/>
          <w:lang w:eastAsia="nl-NL"/>
        </w:rPr>
      </w:pPr>
    </w:p>
    <w:sectPr w:rsidR="007E0F43" w:rsidRPr="008766CD" w:rsidSect="00255933">
      <w:headerReference w:type="default" r:id="rId10"/>
      <w:footerReference w:type="default" r:id="rId11"/>
      <w:headerReference w:type="first" r:id="rId12"/>
      <w:footerReference w:type="first" r:id="rId13"/>
      <w:pgSz w:w="11900" w:h="16840"/>
      <w:pgMar w:top="1964" w:right="1552" w:bottom="1135" w:left="1276" w:header="1474" w:footer="49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70F92" w14:textId="77777777" w:rsidR="008D346E" w:rsidRDefault="008D346E" w:rsidP="00930F4D">
      <w:pPr>
        <w:spacing w:after="0"/>
      </w:pPr>
      <w:r>
        <w:separator/>
      </w:r>
    </w:p>
  </w:endnote>
  <w:endnote w:type="continuationSeparator" w:id="0">
    <w:p w14:paraId="7A0DF53C" w14:textId="77777777" w:rsidR="008D346E" w:rsidRDefault="008D346E" w:rsidP="00930F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valdi">
    <w:panose1 w:val="030206020505060908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6441" w14:textId="77777777" w:rsidR="00281207" w:rsidRPr="004400D0" w:rsidRDefault="00077506" w:rsidP="004400D0">
    <w:pPr>
      <w:pStyle w:val="Pieddepage"/>
      <w:jc w:val="center"/>
      <w:rPr>
        <w:sz w:val="20"/>
        <w:szCs w:val="20"/>
      </w:rPr>
    </w:pPr>
    <w:r w:rsidRPr="004400D0">
      <w:rPr>
        <w:sz w:val="20"/>
        <w:szCs w:val="20"/>
      </w:rPr>
      <w:fldChar w:fldCharType="begin"/>
    </w:r>
    <w:r w:rsidRPr="004400D0">
      <w:rPr>
        <w:sz w:val="20"/>
        <w:szCs w:val="20"/>
      </w:rPr>
      <w:instrText xml:space="preserve"> PAGE   \* MERGEFORMAT </w:instrText>
    </w:r>
    <w:r w:rsidRPr="004400D0">
      <w:rPr>
        <w:sz w:val="20"/>
        <w:szCs w:val="20"/>
      </w:rPr>
      <w:fldChar w:fldCharType="separate"/>
    </w:r>
    <w:r>
      <w:rPr>
        <w:noProof/>
        <w:sz w:val="20"/>
        <w:szCs w:val="20"/>
      </w:rPr>
      <w:t>2</w:t>
    </w:r>
    <w:r w:rsidRPr="004400D0">
      <w:rPr>
        <w:sz w:val="20"/>
        <w:szCs w:val="20"/>
      </w:rPr>
      <w:fldChar w:fldCharType="end"/>
    </w:r>
  </w:p>
  <w:p w14:paraId="361F59DA" w14:textId="606C5DC3" w:rsidR="00281207" w:rsidRPr="00586E5A" w:rsidRDefault="00077506" w:rsidP="00B5303E">
    <w:pPr>
      <w:pStyle w:val="Pieddepage"/>
      <w:rPr>
        <w:sz w:val="16"/>
      </w:rPr>
    </w:pPr>
    <w:r w:rsidRPr="004400D0">
      <w:rPr>
        <w:sz w:val="20"/>
        <w:szCs w:val="20"/>
      </w:rPr>
      <w:t>MAJ :</w:t>
    </w:r>
    <w:r>
      <w:rPr>
        <w:sz w:val="20"/>
        <w:szCs w:val="20"/>
      </w:rPr>
      <w:t xml:space="preserve"> </w:t>
    </w:r>
    <w:r w:rsidR="00DE07C1">
      <w:rPr>
        <w:sz w:val="20"/>
        <w:szCs w:val="20"/>
      </w:rPr>
      <w:t>2</w:t>
    </w:r>
    <w:r w:rsidR="006B4843">
      <w:rPr>
        <w:sz w:val="20"/>
        <w:szCs w:val="20"/>
      </w:rPr>
      <w:t>6</w:t>
    </w:r>
    <w:r w:rsidR="00DE07C1">
      <w:rPr>
        <w:sz w:val="20"/>
        <w:szCs w:val="20"/>
      </w:rPr>
      <w:t>/05</w:t>
    </w:r>
    <w:r w:rsidR="00930F4D">
      <w:rPr>
        <w:sz w:val="20"/>
        <w:szCs w:val="20"/>
      </w:rP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1893" w14:textId="77777777" w:rsidR="00255933" w:rsidRDefault="00255933" w:rsidP="009D482F">
    <w:pPr>
      <w:tabs>
        <w:tab w:val="center" w:pos="4362"/>
        <w:tab w:val="right" w:pos="8724"/>
      </w:tabs>
      <w:spacing w:after="70"/>
      <w:ind w:hanging="284"/>
      <w:jc w:val="center"/>
      <w:rPr>
        <w:rFonts w:ascii="Arial Narrow" w:hAnsi="Arial Narrow"/>
        <w:color w:val="1F497D"/>
        <w:sz w:val="20"/>
        <w:szCs w:val="20"/>
      </w:rPr>
    </w:pPr>
  </w:p>
  <w:p w14:paraId="1CE17036" w14:textId="41A08E46" w:rsidR="00281207" w:rsidRPr="009D482F" w:rsidRDefault="008D346E" w:rsidP="009D48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575B" w14:textId="77777777" w:rsidR="008D346E" w:rsidRDefault="008D346E" w:rsidP="00930F4D">
      <w:pPr>
        <w:spacing w:after="0"/>
      </w:pPr>
      <w:r>
        <w:separator/>
      </w:r>
    </w:p>
  </w:footnote>
  <w:footnote w:type="continuationSeparator" w:id="0">
    <w:p w14:paraId="22A46F4B" w14:textId="77777777" w:rsidR="008D346E" w:rsidRDefault="008D346E" w:rsidP="00930F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8594" w14:textId="77777777" w:rsidR="00281207" w:rsidRDefault="00077506" w:rsidP="007F03ED">
    <w:pPr>
      <w:pStyle w:val="En-tte"/>
    </w:pPr>
    <w:r>
      <w:rPr>
        <w:noProof/>
        <w:lang w:eastAsia="fr-FR"/>
      </w:rPr>
      <w:drawing>
        <wp:anchor distT="0" distB="0" distL="114300" distR="114300" simplePos="0" relativeHeight="251659264" behindDoc="1" locked="1" layoutInCell="1" allowOverlap="0" wp14:anchorId="3750F849" wp14:editId="3851CEBA">
          <wp:simplePos x="0" y="0"/>
          <wp:positionH relativeFrom="column">
            <wp:posOffset>-540385</wp:posOffset>
          </wp:positionH>
          <wp:positionV relativeFrom="page">
            <wp:posOffset>540385</wp:posOffset>
          </wp:positionV>
          <wp:extent cx="1440180" cy="313690"/>
          <wp:effectExtent l="19050" t="0" r="7620" b="0"/>
          <wp:wrapNone/>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1440180" cy="3136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EC00" w14:textId="77777777" w:rsidR="00281207" w:rsidRDefault="00077506">
    <w:pPr>
      <w:pStyle w:val="En-tte"/>
    </w:pPr>
    <w:r>
      <w:rPr>
        <w:noProof/>
        <w:lang w:eastAsia="fr-FR"/>
      </w:rPr>
      <w:drawing>
        <wp:anchor distT="0" distB="0" distL="114300" distR="114300" simplePos="0" relativeHeight="251660288" behindDoc="1" locked="1" layoutInCell="1" allowOverlap="0" wp14:anchorId="357496FA" wp14:editId="54D0D3C1">
          <wp:simplePos x="0" y="0"/>
          <wp:positionH relativeFrom="column">
            <wp:posOffset>-720090</wp:posOffset>
          </wp:positionH>
          <wp:positionV relativeFrom="page">
            <wp:posOffset>367030</wp:posOffset>
          </wp:positionV>
          <wp:extent cx="3509010" cy="759460"/>
          <wp:effectExtent l="0" t="0" r="0" b="0"/>
          <wp:wrapNone/>
          <wp:docPr id="30" name="Image 30" descr="13logo 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3logo BD"/>
                  <pic:cNvPicPr>
                    <a:picLocks noChangeAspect="1" noChangeArrowheads="1"/>
                  </pic:cNvPicPr>
                </pic:nvPicPr>
                <pic:blipFill>
                  <a:blip r:embed="rId1"/>
                  <a:srcRect/>
                  <a:stretch>
                    <a:fillRect/>
                  </a:stretch>
                </pic:blipFill>
                <pic:spPr bwMode="auto">
                  <a:xfrm>
                    <a:off x="0" y="0"/>
                    <a:ext cx="3509010" cy="7594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05E"/>
    <w:multiLevelType w:val="hybridMultilevel"/>
    <w:tmpl w:val="31EEC0EA"/>
    <w:lvl w:ilvl="0" w:tplc="612C2B6A">
      <w:start w:val="9"/>
      <w:numFmt w:val="decimal"/>
      <w:lvlText w:val="%1."/>
      <w:lvlJc w:val="left"/>
    </w:lvl>
    <w:lvl w:ilvl="1" w:tplc="F9B2E458">
      <w:numFmt w:val="decimal"/>
      <w:lvlText w:val=""/>
      <w:lvlJc w:val="left"/>
    </w:lvl>
    <w:lvl w:ilvl="2" w:tplc="9A6CCB44">
      <w:numFmt w:val="decimal"/>
      <w:lvlText w:val=""/>
      <w:lvlJc w:val="left"/>
    </w:lvl>
    <w:lvl w:ilvl="3" w:tplc="638ECF26">
      <w:numFmt w:val="decimal"/>
      <w:lvlText w:val=""/>
      <w:lvlJc w:val="left"/>
    </w:lvl>
    <w:lvl w:ilvl="4" w:tplc="62B4EBDA">
      <w:numFmt w:val="decimal"/>
      <w:lvlText w:val=""/>
      <w:lvlJc w:val="left"/>
    </w:lvl>
    <w:lvl w:ilvl="5" w:tplc="A566B60C">
      <w:numFmt w:val="decimal"/>
      <w:lvlText w:val=""/>
      <w:lvlJc w:val="left"/>
    </w:lvl>
    <w:lvl w:ilvl="6" w:tplc="71D6A3B6">
      <w:numFmt w:val="decimal"/>
      <w:lvlText w:val=""/>
      <w:lvlJc w:val="left"/>
    </w:lvl>
    <w:lvl w:ilvl="7" w:tplc="2604DF58">
      <w:numFmt w:val="decimal"/>
      <w:lvlText w:val=""/>
      <w:lvlJc w:val="left"/>
    </w:lvl>
    <w:lvl w:ilvl="8" w:tplc="EDFC86F8">
      <w:numFmt w:val="decimal"/>
      <w:lvlText w:val=""/>
      <w:lvlJc w:val="left"/>
    </w:lvl>
  </w:abstractNum>
  <w:abstractNum w:abstractNumId="1" w15:restartNumberingAfterBreak="0">
    <w:nsid w:val="0000440D"/>
    <w:multiLevelType w:val="hybridMultilevel"/>
    <w:tmpl w:val="48C2B990"/>
    <w:lvl w:ilvl="0" w:tplc="6B96E09E">
      <w:start w:val="15"/>
      <w:numFmt w:val="decimal"/>
      <w:lvlText w:val="%1."/>
      <w:lvlJc w:val="left"/>
    </w:lvl>
    <w:lvl w:ilvl="1" w:tplc="893C2898">
      <w:numFmt w:val="decimal"/>
      <w:lvlText w:val=""/>
      <w:lvlJc w:val="left"/>
    </w:lvl>
    <w:lvl w:ilvl="2" w:tplc="9CCA919C">
      <w:numFmt w:val="decimal"/>
      <w:lvlText w:val=""/>
      <w:lvlJc w:val="left"/>
    </w:lvl>
    <w:lvl w:ilvl="3" w:tplc="B3D0D5C0">
      <w:numFmt w:val="decimal"/>
      <w:lvlText w:val=""/>
      <w:lvlJc w:val="left"/>
    </w:lvl>
    <w:lvl w:ilvl="4" w:tplc="D29C2524">
      <w:numFmt w:val="decimal"/>
      <w:lvlText w:val=""/>
      <w:lvlJc w:val="left"/>
    </w:lvl>
    <w:lvl w:ilvl="5" w:tplc="477CC3B0">
      <w:numFmt w:val="decimal"/>
      <w:lvlText w:val=""/>
      <w:lvlJc w:val="left"/>
    </w:lvl>
    <w:lvl w:ilvl="6" w:tplc="EE246804">
      <w:numFmt w:val="decimal"/>
      <w:lvlText w:val=""/>
      <w:lvlJc w:val="left"/>
    </w:lvl>
    <w:lvl w:ilvl="7" w:tplc="BAFAA8A8">
      <w:numFmt w:val="decimal"/>
      <w:lvlText w:val=""/>
      <w:lvlJc w:val="left"/>
    </w:lvl>
    <w:lvl w:ilvl="8" w:tplc="BD54D6E6">
      <w:numFmt w:val="decimal"/>
      <w:lvlText w:val=""/>
      <w:lvlJc w:val="left"/>
    </w:lvl>
  </w:abstractNum>
  <w:abstractNum w:abstractNumId="2" w15:restartNumberingAfterBreak="0">
    <w:nsid w:val="0000491C"/>
    <w:multiLevelType w:val="hybridMultilevel"/>
    <w:tmpl w:val="DD02594E"/>
    <w:lvl w:ilvl="0" w:tplc="856C21B4">
      <w:start w:val="22"/>
      <w:numFmt w:val="decimal"/>
      <w:lvlText w:val="%1."/>
      <w:lvlJc w:val="left"/>
    </w:lvl>
    <w:lvl w:ilvl="1" w:tplc="7AE2BC2E">
      <w:numFmt w:val="decimal"/>
      <w:lvlText w:val=""/>
      <w:lvlJc w:val="left"/>
    </w:lvl>
    <w:lvl w:ilvl="2" w:tplc="A38CB7FA">
      <w:numFmt w:val="decimal"/>
      <w:lvlText w:val=""/>
      <w:lvlJc w:val="left"/>
    </w:lvl>
    <w:lvl w:ilvl="3" w:tplc="95426BBC">
      <w:numFmt w:val="decimal"/>
      <w:lvlText w:val=""/>
      <w:lvlJc w:val="left"/>
    </w:lvl>
    <w:lvl w:ilvl="4" w:tplc="64FA5C1C">
      <w:numFmt w:val="decimal"/>
      <w:lvlText w:val=""/>
      <w:lvlJc w:val="left"/>
    </w:lvl>
    <w:lvl w:ilvl="5" w:tplc="F154E128">
      <w:numFmt w:val="decimal"/>
      <w:lvlText w:val=""/>
      <w:lvlJc w:val="left"/>
    </w:lvl>
    <w:lvl w:ilvl="6" w:tplc="5838B028">
      <w:numFmt w:val="decimal"/>
      <w:lvlText w:val=""/>
      <w:lvlJc w:val="left"/>
    </w:lvl>
    <w:lvl w:ilvl="7" w:tplc="900CB14C">
      <w:numFmt w:val="decimal"/>
      <w:lvlText w:val=""/>
      <w:lvlJc w:val="left"/>
    </w:lvl>
    <w:lvl w:ilvl="8" w:tplc="51B63D80">
      <w:numFmt w:val="decimal"/>
      <w:lvlText w:val=""/>
      <w:lvlJc w:val="left"/>
    </w:lvl>
  </w:abstractNum>
  <w:abstractNum w:abstractNumId="3" w15:restartNumberingAfterBreak="0">
    <w:nsid w:val="0EF0502D"/>
    <w:multiLevelType w:val="hybridMultilevel"/>
    <w:tmpl w:val="119E5D1A"/>
    <w:lvl w:ilvl="0" w:tplc="5E40581E">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FE1181"/>
    <w:multiLevelType w:val="multilevel"/>
    <w:tmpl w:val="8D8E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D3CCE"/>
    <w:multiLevelType w:val="multilevel"/>
    <w:tmpl w:val="D806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173D8"/>
    <w:multiLevelType w:val="hybridMultilevel"/>
    <w:tmpl w:val="B7F81F94"/>
    <w:lvl w:ilvl="0" w:tplc="C226A790">
      <w:start w:val="2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0A4740"/>
    <w:multiLevelType w:val="hybridMultilevel"/>
    <w:tmpl w:val="65283D8A"/>
    <w:lvl w:ilvl="0" w:tplc="134EF414">
      <w:start w:val="1"/>
      <w:numFmt w:val="bullet"/>
      <w:lvlText w:val="-"/>
      <w:lvlJc w:val="left"/>
      <w:pPr>
        <w:ind w:left="1080" w:hanging="360"/>
      </w:pPr>
      <w:rPr>
        <w:rFonts w:ascii="Verdana" w:hAnsi="Verdana"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6EE2AB5"/>
    <w:multiLevelType w:val="hybridMultilevel"/>
    <w:tmpl w:val="B180FCC6"/>
    <w:lvl w:ilvl="0" w:tplc="B7B2D396">
      <w:start w:val="1"/>
      <w:numFmt w:val="upperRoman"/>
      <w:lvlText w:val="(%1)"/>
      <w:lvlJc w:val="left"/>
      <w:pPr>
        <w:ind w:left="2138" w:hanging="72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9" w15:restartNumberingAfterBreak="0">
    <w:nsid w:val="33340153"/>
    <w:multiLevelType w:val="hybridMultilevel"/>
    <w:tmpl w:val="F7BC7088"/>
    <w:lvl w:ilvl="0" w:tplc="E1C4C2B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5A60B44"/>
    <w:multiLevelType w:val="hybridMultilevel"/>
    <w:tmpl w:val="1E5E5256"/>
    <w:lvl w:ilvl="0" w:tplc="1F1CB4D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4D5AE5"/>
    <w:multiLevelType w:val="hybridMultilevel"/>
    <w:tmpl w:val="7046BEEA"/>
    <w:lvl w:ilvl="0" w:tplc="D2C0A6D6">
      <w:start w:val="1"/>
      <w:numFmt w:val="lowerRoman"/>
      <w:lvlText w:val="(%1)"/>
      <w:lvlJc w:val="left"/>
      <w:pPr>
        <w:ind w:left="1428" w:hanging="720"/>
      </w:pPr>
      <w:rPr>
        <w:rFonts w:eastAsia="Times New Roman" w:hint="default"/>
        <w:i w:val="0"/>
        <w:iCs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6B5162DC"/>
    <w:multiLevelType w:val="hybridMultilevel"/>
    <w:tmpl w:val="9580D3CA"/>
    <w:lvl w:ilvl="0" w:tplc="134EF414">
      <w:start w:val="1"/>
      <w:numFmt w:val="bullet"/>
      <w:lvlText w:val="-"/>
      <w:lvlJc w:val="left"/>
      <w:pPr>
        <w:ind w:left="720" w:hanging="360"/>
      </w:pPr>
      <w:rPr>
        <w:rFonts w:ascii="Verdana" w:hAnsi="Verda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682C64"/>
    <w:multiLevelType w:val="hybridMultilevel"/>
    <w:tmpl w:val="56EAA15C"/>
    <w:lvl w:ilvl="0" w:tplc="C0F291D6">
      <w:numFmt w:val="bullet"/>
      <w:lvlText w:val="-"/>
      <w:lvlJc w:val="left"/>
      <w:pPr>
        <w:ind w:left="720" w:hanging="360"/>
      </w:pPr>
      <w:rPr>
        <w:rFonts w:ascii="Calibri" w:eastAsia="Cambria"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7C18AA"/>
    <w:multiLevelType w:val="multilevel"/>
    <w:tmpl w:val="EEB2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4"/>
  </w:num>
  <w:num w:numId="5">
    <w:abstractNumId w:val="0"/>
  </w:num>
  <w:num w:numId="6">
    <w:abstractNumId w:val="1"/>
  </w:num>
  <w:num w:numId="7">
    <w:abstractNumId w:val="2"/>
  </w:num>
  <w:num w:numId="8">
    <w:abstractNumId w:val="6"/>
  </w:num>
  <w:num w:numId="9">
    <w:abstractNumId w:val="7"/>
  </w:num>
  <w:num w:numId="10">
    <w:abstractNumId w:val="12"/>
  </w:num>
  <w:num w:numId="11">
    <w:abstractNumId w:val="11"/>
  </w:num>
  <w:num w:numId="12">
    <w:abstractNumId w:val="8"/>
  </w:num>
  <w:num w:numId="13">
    <w:abstractNumId w:val="9"/>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597A048-A048-4018-AEC2-C65DF1CD0B24}"/>
    <w:docVar w:name="dgnword-eventsink" w:val="370609896"/>
  </w:docVars>
  <w:rsids>
    <w:rsidRoot w:val="00543DA0"/>
    <w:rsid w:val="00000798"/>
    <w:rsid w:val="00007773"/>
    <w:rsid w:val="00012331"/>
    <w:rsid w:val="000250A9"/>
    <w:rsid w:val="00032521"/>
    <w:rsid w:val="00036EC5"/>
    <w:rsid w:val="00046444"/>
    <w:rsid w:val="00063C99"/>
    <w:rsid w:val="00065A58"/>
    <w:rsid w:val="000675CC"/>
    <w:rsid w:val="00077506"/>
    <w:rsid w:val="00080D7D"/>
    <w:rsid w:val="0008252F"/>
    <w:rsid w:val="00092A1A"/>
    <w:rsid w:val="0009567F"/>
    <w:rsid w:val="000964BB"/>
    <w:rsid w:val="00097DE6"/>
    <w:rsid w:val="000A4DB3"/>
    <w:rsid w:val="000C27AF"/>
    <w:rsid w:val="000C6CAB"/>
    <w:rsid w:val="000D0B82"/>
    <w:rsid w:val="000F2D47"/>
    <w:rsid w:val="00100263"/>
    <w:rsid w:val="00100284"/>
    <w:rsid w:val="00107911"/>
    <w:rsid w:val="00112AE8"/>
    <w:rsid w:val="00113E96"/>
    <w:rsid w:val="0012306E"/>
    <w:rsid w:val="001308D8"/>
    <w:rsid w:val="0013654B"/>
    <w:rsid w:val="00136EC2"/>
    <w:rsid w:val="0016037D"/>
    <w:rsid w:val="001634E0"/>
    <w:rsid w:val="00177EB4"/>
    <w:rsid w:val="0018541D"/>
    <w:rsid w:val="001941B1"/>
    <w:rsid w:val="001A4203"/>
    <w:rsid w:val="001C421F"/>
    <w:rsid w:val="001C4D68"/>
    <w:rsid w:val="001F1331"/>
    <w:rsid w:val="00203205"/>
    <w:rsid w:val="00216DFC"/>
    <w:rsid w:val="002203D1"/>
    <w:rsid w:val="00224B98"/>
    <w:rsid w:val="00227E89"/>
    <w:rsid w:val="00241730"/>
    <w:rsid w:val="002422A3"/>
    <w:rsid w:val="0024269D"/>
    <w:rsid w:val="00244C1D"/>
    <w:rsid w:val="002527BA"/>
    <w:rsid w:val="00255933"/>
    <w:rsid w:val="00262369"/>
    <w:rsid w:val="00270D5D"/>
    <w:rsid w:val="00271342"/>
    <w:rsid w:val="00274F4A"/>
    <w:rsid w:val="0027640A"/>
    <w:rsid w:val="00290314"/>
    <w:rsid w:val="0029761C"/>
    <w:rsid w:val="002A5E5E"/>
    <w:rsid w:val="002B40D2"/>
    <w:rsid w:val="002C05FF"/>
    <w:rsid w:val="002D10C7"/>
    <w:rsid w:val="002E15FF"/>
    <w:rsid w:val="002E7CBB"/>
    <w:rsid w:val="002E7D0D"/>
    <w:rsid w:val="002F2841"/>
    <w:rsid w:val="00307941"/>
    <w:rsid w:val="00310C58"/>
    <w:rsid w:val="00325EDD"/>
    <w:rsid w:val="0033285D"/>
    <w:rsid w:val="00332B6E"/>
    <w:rsid w:val="00337179"/>
    <w:rsid w:val="00354673"/>
    <w:rsid w:val="00363D10"/>
    <w:rsid w:val="00380217"/>
    <w:rsid w:val="00381935"/>
    <w:rsid w:val="00382A5D"/>
    <w:rsid w:val="00383F4A"/>
    <w:rsid w:val="00395C4C"/>
    <w:rsid w:val="0039735D"/>
    <w:rsid w:val="003C6311"/>
    <w:rsid w:val="003C7AC8"/>
    <w:rsid w:val="003D0F1E"/>
    <w:rsid w:val="003F01EC"/>
    <w:rsid w:val="00404D36"/>
    <w:rsid w:val="0041747E"/>
    <w:rsid w:val="00417F89"/>
    <w:rsid w:val="00421224"/>
    <w:rsid w:val="00430CA1"/>
    <w:rsid w:val="00432299"/>
    <w:rsid w:val="0043229A"/>
    <w:rsid w:val="00437C2C"/>
    <w:rsid w:val="004661FB"/>
    <w:rsid w:val="004675EF"/>
    <w:rsid w:val="00471A1D"/>
    <w:rsid w:val="004722F0"/>
    <w:rsid w:val="0047603D"/>
    <w:rsid w:val="004868EA"/>
    <w:rsid w:val="0048760D"/>
    <w:rsid w:val="00494A71"/>
    <w:rsid w:val="004969C5"/>
    <w:rsid w:val="004A1B3C"/>
    <w:rsid w:val="004C0338"/>
    <w:rsid w:val="004D3952"/>
    <w:rsid w:val="004E0B8E"/>
    <w:rsid w:val="004E2CBE"/>
    <w:rsid w:val="004F0AA9"/>
    <w:rsid w:val="004F6C0E"/>
    <w:rsid w:val="004F7691"/>
    <w:rsid w:val="005044ED"/>
    <w:rsid w:val="00510B8E"/>
    <w:rsid w:val="00512916"/>
    <w:rsid w:val="00525600"/>
    <w:rsid w:val="0054319F"/>
    <w:rsid w:val="00543DA0"/>
    <w:rsid w:val="00544727"/>
    <w:rsid w:val="00544EC7"/>
    <w:rsid w:val="00551808"/>
    <w:rsid w:val="00560AE0"/>
    <w:rsid w:val="00573E3E"/>
    <w:rsid w:val="00573F6A"/>
    <w:rsid w:val="00586DA0"/>
    <w:rsid w:val="005A0090"/>
    <w:rsid w:val="005B0AAC"/>
    <w:rsid w:val="005B2755"/>
    <w:rsid w:val="005B5F41"/>
    <w:rsid w:val="005C35E0"/>
    <w:rsid w:val="005D0F5B"/>
    <w:rsid w:val="005E0B14"/>
    <w:rsid w:val="00602ABE"/>
    <w:rsid w:val="00617E6D"/>
    <w:rsid w:val="00627089"/>
    <w:rsid w:val="00627573"/>
    <w:rsid w:val="00634609"/>
    <w:rsid w:val="00637B59"/>
    <w:rsid w:val="00642CBD"/>
    <w:rsid w:val="00647EC6"/>
    <w:rsid w:val="00651719"/>
    <w:rsid w:val="006528C1"/>
    <w:rsid w:val="0066111E"/>
    <w:rsid w:val="006667D2"/>
    <w:rsid w:val="00681950"/>
    <w:rsid w:val="0068544B"/>
    <w:rsid w:val="006951C2"/>
    <w:rsid w:val="006A4BB2"/>
    <w:rsid w:val="006A5250"/>
    <w:rsid w:val="006B4843"/>
    <w:rsid w:val="006B6AD8"/>
    <w:rsid w:val="006C1CAD"/>
    <w:rsid w:val="006C46CA"/>
    <w:rsid w:val="006C7FDF"/>
    <w:rsid w:val="006D43F7"/>
    <w:rsid w:val="006E23D1"/>
    <w:rsid w:val="006E2BD7"/>
    <w:rsid w:val="00701CD7"/>
    <w:rsid w:val="00706095"/>
    <w:rsid w:val="007107AE"/>
    <w:rsid w:val="00715DA6"/>
    <w:rsid w:val="00726C5A"/>
    <w:rsid w:val="00730E41"/>
    <w:rsid w:val="007328AE"/>
    <w:rsid w:val="007442CD"/>
    <w:rsid w:val="00751719"/>
    <w:rsid w:val="00760C5E"/>
    <w:rsid w:val="00761130"/>
    <w:rsid w:val="00767AAC"/>
    <w:rsid w:val="00767D8D"/>
    <w:rsid w:val="00774151"/>
    <w:rsid w:val="00793272"/>
    <w:rsid w:val="00793BED"/>
    <w:rsid w:val="00795E9D"/>
    <w:rsid w:val="007C7A90"/>
    <w:rsid w:val="007D320C"/>
    <w:rsid w:val="007E0F43"/>
    <w:rsid w:val="007E583B"/>
    <w:rsid w:val="007E6893"/>
    <w:rsid w:val="007F7ED6"/>
    <w:rsid w:val="008301AD"/>
    <w:rsid w:val="0083205E"/>
    <w:rsid w:val="00840619"/>
    <w:rsid w:val="00844E7C"/>
    <w:rsid w:val="00847692"/>
    <w:rsid w:val="00850B1D"/>
    <w:rsid w:val="00862AD7"/>
    <w:rsid w:val="00874B29"/>
    <w:rsid w:val="008754CC"/>
    <w:rsid w:val="00875A6B"/>
    <w:rsid w:val="008766CD"/>
    <w:rsid w:val="00883EEF"/>
    <w:rsid w:val="008A7BC1"/>
    <w:rsid w:val="008B1556"/>
    <w:rsid w:val="008D346E"/>
    <w:rsid w:val="008D53F3"/>
    <w:rsid w:val="008F2ED4"/>
    <w:rsid w:val="00907A65"/>
    <w:rsid w:val="009134EE"/>
    <w:rsid w:val="009223DA"/>
    <w:rsid w:val="009235D5"/>
    <w:rsid w:val="00923A68"/>
    <w:rsid w:val="00930F4D"/>
    <w:rsid w:val="009333BF"/>
    <w:rsid w:val="00933D36"/>
    <w:rsid w:val="0094567D"/>
    <w:rsid w:val="0095213F"/>
    <w:rsid w:val="00961F50"/>
    <w:rsid w:val="009655E9"/>
    <w:rsid w:val="00972FC6"/>
    <w:rsid w:val="00975A30"/>
    <w:rsid w:val="00977931"/>
    <w:rsid w:val="0098107A"/>
    <w:rsid w:val="009838DD"/>
    <w:rsid w:val="00994DCA"/>
    <w:rsid w:val="009A1EAC"/>
    <w:rsid w:val="009D482F"/>
    <w:rsid w:val="009D5338"/>
    <w:rsid w:val="009E767F"/>
    <w:rsid w:val="009F14C5"/>
    <w:rsid w:val="009F4D75"/>
    <w:rsid w:val="00A02C8F"/>
    <w:rsid w:val="00A075A1"/>
    <w:rsid w:val="00A23027"/>
    <w:rsid w:val="00A259A9"/>
    <w:rsid w:val="00A3698D"/>
    <w:rsid w:val="00A527E4"/>
    <w:rsid w:val="00A53B82"/>
    <w:rsid w:val="00A55A26"/>
    <w:rsid w:val="00A62CDE"/>
    <w:rsid w:val="00A7493E"/>
    <w:rsid w:val="00A86AB5"/>
    <w:rsid w:val="00A87043"/>
    <w:rsid w:val="00AA0253"/>
    <w:rsid w:val="00AB7E2E"/>
    <w:rsid w:val="00AC4C9B"/>
    <w:rsid w:val="00AD0CE5"/>
    <w:rsid w:val="00AE3085"/>
    <w:rsid w:val="00AE5208"/>
    <w:rsid w:val="00AF2E07"/>
    <w:rsid w:val="00AF48AF"/>
    <w:rsid w:val="00B16110"/>
    <w:rsid w:val="00B32CE2"/>
    <w:rsid w:val="00B43E00"/>
    <w:rsid w:val="00B455DC"/>
    <w:rsid w:val="00B47EC9"/>
    <w:rsid w:val="00B51101"/>
    <w:rsid w:val="00B518CF"/>
    <w:rsid w:val="00B5303E"/>
    <w:rsid w:val="00B5798E"/>
    <w:rsid w:val="00B63829"/>
    <w:rsid w:val="00B85879"/>
    <w:rsid w:val="00BA1F44"/>
    <w:rsid w:val="00BA43C1"/>
    <w:rsid w:val="00BC29F3"/>
    <w:rsid w:val="00BC77FA"/>
    <w:rsid w:val="00BD545E"/>
    <w:rsid w:val="00BE0AA0"/>
    <w:rsid w:val="00BE3F11"/>
    <w:rsid w:val="00BF625D"/>
    <w:rsid w:val="00C05AF2"/>
    <w:rsid w:val="00C3077B"/>
    <w:rsid w:val="00C3567E"/>
    <w:rsid w:val="00C46502"/>
    <w:rsid w:val="00C65D68"/>
    <w:rsid w:val="00C722FE"/>
    <w:rsid w:val="00C8577C"/>
    <w:rsid w:val="00C85E36"/>
    <w:rsid w:val="00C86D4D"/>
    <w:rsid w:val="00C9334B"/>
    <w:rsid w:val="00CA2F18"/>
    <w:rsid w:val="00CA6C03"/>
    <w:rsid w:val="00CA75F2"/>
    <w:rsid w:val="00CB34A5"/>
    <w:rsid w:val="00CB7D26"/>
    <w:rsid w:val="00CC1D05"/>
    <w:rsid w:val="00CD5318"/>
    <w:rsid w:val="00CD5BAC"/>
    <w:rsid w:val="00CF6C42"/>
    <w:rsid w:val="00D13803"/>
    <w:rsid w:val="00D13EFB"/>
    <w:rsid w:val="00D177DD"/>
    <w:rsid w:val="00D21DAB"/>
    <w:rsid w:val="00D23CBA"/>
    <w:rsid w:val="00D269E2"/>
    <w:rsid w:val="00D31AD5"/>
    <w:rsid w:val="00D440FB"/>
    <w:rsid w:val="00D46031"/>
    <w:rsid w:val="00D479B3"/>
    <w:rsid w:val="00D50E67"/>
    <w:rsid w:val="00D5453B"/>
    <w:rsid w:val="00D6651E"/>
    <w:rsid w:val="00D81372"/>
    <w:rsid w:val="00DB2F04"/>
    <w:rsid w:val="00DC3415"/>
    <w:rsid w:val="00DE07C1"/>
    <w:rsid w:val="00DE12C1"/>
    <w:rsid w:val="00E0221B"/>
    <w:rsid w:val="00E03029"/>
    <w:rsid w:val="00E10C89"/>
    <w:rsid w:val="00E129E3"/>
    <w:rsid w:val="00E24124"/>
    <w:rsid w:val="00E24F63"/>
    <w:rsid w:val="00E278F3"/>
    <w:rsid w:val="00E31E37"/>
    <w:rsid w:val="00E363A8"/>
    <w:rsid w:val="00E37E90"/>
    <w:rsid w:val="00E609F7"/>
    <w:rsid w:val="00E6430E"/>
    <w:rsid w:val="00E66ECF"/>
    <w:rsid w:val="00E674A7"/>
    <w:rsid w:val="00E7138A"/>
    <w:rsid w:val="00E73223"/>
    <w:rsid w:val="00E843CB"/>
    <w:rsid w:val="00EA256A"/>
    <w:rsid w:val="00EA4786"/>
    <w:rsid w:val="00EA6B9F"/>
    <w:rsid w:val="00EB4A8D"/>
    <w:rsid w:val="00EB7C2E"/>
    <w:rsid w:val="00EC7434"/>
    <w:rsid w:val="00ED52FD"/>
    <w:rsid w:val="00EE44A9"/>
    <w:rsid w:val="00EE4DDC"/>
    <w:rsid w:val="00EF02CE"/>
    <w:rsid w:val="00EF1585"/>
    <w:rsid w:val="00EF25BC"/>
    <w:rsid w:val="00F01263"/>
    <w:rsid w:val="00F060B5"/>
    <w:rsid w:val="00F073C6"/>
    <w:rsid w:val="00F3050E"/>
    <w:rsid w:val="00F355F1"/>
    <w:rsid w:val="00F4356B"/>
    <w:rsid w:val="00F47254"/>
    <w:rsid w:val="00F608A5"/>
    <w:rsid w:val="00F6598E"/>
    <w:rsid w:val="00F7110D"/>
    <w:rsid w:val="00F73D53"/>
    <w:rsid w:val="00F76B56"/>
    <w:rsid w:val="00F85C32"/>
    <w:rsid w:val="00F95E42"/>
    <w:rsid w:val="00F97703"/>
    <w:rsid w:val="00FA0224"/>
    <w:rsid w:val="00FA345F"/>
    <w:rsid w:val="00FB6354"/>
    <w:rsid w:val="00FB6460"/>
    <w:rsid w:val="00FC4298"/>
    <w:rsid w:val="00FD013B"/>
    <w:rsid w:val="00FD42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04A4"/>
  <w15:chartTrackingRefBased/>
  <w15:docId w15:val="{C1B1863A-928C-410C-B2F9-927555E1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DA0"/>
    <w:pPr>
      <w:spacing w:after="200" w:line="240" w:lineRule="auto"/>
    </w:pPr>
    <w:rPr>
      <w:rFonts w:ascii="Arial" w:eastAsia="Cambria" w:hAnsi="Arial" w:cs="Times New Roman"/>
      <w:sz w:val="24"/>
      <w:szCs w:val="24"/>
    </w:rPr>
  </w:style>
  <w:style w:type="paragraph" w:styleId="Titre2">
    <w:name w:val="heading 2"/>
    <w:basedOn w:val="Normal"/>
    <w:link w:val="Titre2Car"/>
    <w:uiPriority w:val="9"/>
    <w:qFormat/>
    <w:rsid w:val="00FC4298"/>
    <w:pPr>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FC4298"/>
    <w:pPr>
      <w:spacing w:before="100" w:beforeAutospacing="1" w:after="100" w:afterAutospacing="1"/>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3DA0"/>
    <w:pPr>
      <w:tabs>
        <w:tab w:val="center" w:pos="4536"/>
        <w:tab w:val="right" w:pos="9072"/>
      </w:tabs>
      <w:spacing w:after="0"/>
    </w:pPr>
  </w:style>
  <w:style w:type="character" w:customStyle="1" w:styleId="En-tteCar">
    <w:name w:val="En-tête Car"/>
    <w:basedOn w:val="Policepardfaut"/>
    <w:link w:val="En-tte"/>
    <w:uiPriority w:val="99"/>
    <w:rsid w:val="00543DA0"/>
    <w:rPr>
      <w:rFonts w:ascii="Arial" w:eastAsia="Cambria" w:hAnsi="Arial" w:cs="Times New Roman"/>
      <w:sz w:val="24"/>
      <w:szCs w:val="24"/>
    </w:rPr>
  </w:style>
  <w:style w:type="paragraph" w:styleId="Pieddepage">
    <w:name w:val="footer"/>
    <w:basedOn w:val="Normal"/>
    <w:link w:val="PieddepageCar"/>
    <w:uiPriority w:val="99"/>
    <w:unhideWhenUsed/>
    <w:rsid w:val="00543DA0"/>
    <w:pPr>
      <w:tabs>
        <w:tab w:val="center" w:pos="4536"/>
        <w:tab w:val="right" w:pos="9072"/>
      </w:tabs>
      <w:spacing w:after="0"/>
    </w:pPr>
  </w:style>
  <w:style w:type="character" w:customStyle="1" w:styleId="PieddepageCar">
    <w:name w:val="Pied de page Car"/>
    <w:basedOn w:val="Policepardfaut"/>
    <w:link w:val="Pieddepage"/>
    <w:uiPriority w:val="99"/>
    <w:rsid w:val="00543DA0"/>
    <w:rPr>
      <w:rFonts w:ascii="Arial" w:eastAsia="Cambria" w:hAnsi="Arial" w:cs="Times New Roman"/>
      <w:sz w:val="24"/>
      <w:szCs w:val="24"/>
    </w:rPr>
  </w:style>
  <w:style w:type="paragraph" w:styleId="Paragraphedeliste">
    <w:name w:val="List Paragraph"/>
    <w:basedOn w:val="Normal"/>
    <w:uiPriority w:val="34"/>
    <w:qFormat/>
    <w:rsid w:val="00543DA0"/>
    <w:pPr>
      <w:spacing w:line="276" w:lineRule="auto"/>
      <w:ind w:left="720"/>
      <w:contextualSpacing/>
    </w:pPr>
    <w:rPr>
      <w:rFonts w:ascii="Calibri" w:eastAsia="Calibri" w:hAnsi="Calibri"/>
      <w:sz w:val="22"/>
      <w:szCs w:val="22"/>
    </w:rPr>
  </w:style>
  <w:style w:type="character" w:customStyle="1" w:styleId="Titre2Car">
    <w:name w:val="Titre 2 Car"/>
    <w:basedOn w:val="Policepardfaut"/>
    <w:link w:val="Titre2"/>
    <w:uiPriority w:val="9"/>
    <w:rsid w:val="00FC4298"/>
    <w:rPr>
      <w:rFonts w:ascii="Times New Roman" w:hAnsi="Times New Roman" w:cs="Times New Roman"/>
      <w:b/>
      <w:bCs/>
      <w:sz w:val="36"/>
      <w:szCs w:val="36"/>
      <w:lang w:eastAsia="fr-FR"/>
    </w:rPr>
  </w:style>
  <w:style w:type="character" w:customStyle="1" w:styleId="Titre3Car">
    <w:name w:val="Titre 3 Car"/>
    <w:basedOn w:val="Policepardfaut"/>
    <w:link w:val="Titre3"/>
    <w:uiPriority w:val="9"/>
    <w:rsid w:val="00FC4298"/>
    <w:rPr>
      <w:rFonts w:ascii="Times New Roman" w:hAnsi="Times New Roman" w:cs="Times New Roman"/>
      <w:b/>
      <w:bCs/>
      <w:sz w:val="27"/>
      <w:szCs w:val="27"/>
      <w:lang w:eastAsia="fr-FR"/>
    </w:rPr>
  </w:style>
  <w:style w:type="paragraph" w:styleId="NormalWeb">
    <w:name w:val="Normal (Web)"/>
    <w:basedOn w:val="Normal"/>
    <w:uiPriority w:val="99"/>
    <w:semiHidden/>
    <w:unhideWhenUsed/>
    <w:rsid w:val="00FC4298"/>
    <w:pPr>
      <w:spacing w:before="100" w:beforeAutospacing="1" w:after="100" w:afterAutospacing="1"/>
    </w:pPr>
    <w:rPr>
      <w:rFonts w:ascii="Times New Roman" w:eastAsia="Times New Roman" w:hAnsi="Times New Roman"/>
      <w:lang w:eastAsia="fr-FR"/>
    </w:rPr>
  </w:style>
  <w:style w:type="character" w:styleId="Lienhypertexte">
    <w:name w:val="Hyperlink"/>
    <w:basedOn w:val="Policepardfaut"/>
    <w:uiPriority w:val="99"/>
    <w:unhideWhenUsed/>
    <w:rsid w:val="00FC4298"/>
    <w:rPr>
      <w:color w:val="0000FF"/>
      <w:u w:val="single"/>
    </w:rPr>
  </w:style>
  <w:style w:type="character" w:styleId="Marquedecommentaire">
    <w:name w:val="annotation reference"/>
    <w:basedOn w:val="Policepardfaut"/>
    <w:uiPriority w:val="99"/>
    <w:semiHidden/>
    <w:unhideWhenUsed/>
    <w:rsid w:val="00290314"/>
    <w:rPr>
      <w:sz w:val="16"/>
      <w:szCs w:val="16"/>
    </w:rPr>
  </w:style>
  <w:style w:type="paragraph" w:styleId="Commentaire">
    <w:name w:val="annotation text"/>
    <w:basedOn w:val="Normal"/>
    <w:link w:val="CommentaireCar"/>
    <w:uiPriority w:val="99"/>
    <w:semiHidden/>
    <w:unhideWhenUsed/>
    <w:rsid w:val="00290314"/>
    <w:rPr>
      <w:sz w:val="20"/>
      <w:szCs w:val="20"/>
    </w:rPr>
  </w:style>
  <w:style w:type="character" w:customStyle="1" w:styleId="CommentaireCar">
    <w:name w:val="Commentaire Car"/>
    <w:basedOn w:val="Policepardfaut"/>
    <w:link w:val="Commentaire"/>
    <w:uiPriority w:val="99"/>
    <w:semiHidden/>
    <w:rsid w:val="00290314"/>
    <w:rPr>
      <w:rFonts w:ascii="Arial" w:eastAsia="Cambria"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290314"/>
    <w:rPr>
      <w:b/>
      <w:bCs/>
    </w:rPr>
  </w:style>
  <w:style w:type="character" w:customStyle="1" w:styleId="ObjetducommentaireCar">
    <w:name w:val="Objet du commentaire Car"/>
    <w:basedOn w:val="CommentaireCar"/>
    <w:link w:val="Objetducommentaire"/>
    <w:uiPriority w:val="99"/>
    <w:semiHidden/>
    <w:rsid w:val="00290314"/>
    <w:rPr>
      <w:rFonts w:ascii="Arial" w:eastAsia="Cambria" w:hAnsi="Arial" w:cs="Times New Roman"/>
      <w:b/>
      <w:bCs/>
      <w:sz w:val="20"/>
      <w:szCs w:val="20"/>
    </w:rPr>
  </w:style>
  <w:style w:type="paragraph" w:customStyle="1" w:styleId="Default">
    <w:name w:val="Default"/>
    <w:rsid w:val="001A4203"/>
    <w:pPr>
      <w:widowControl w:val="0"/>
      <w:autoSpaceDE w:val="0"/>
      <w:autoSpaceDN w:val="0"/>
      <w:adjustRightInd w:val="0"/>
      <w:spacing w:after="0" w:line="240" w:lineRule="auto"/>
    </w:pPr>
    <w:rPr>
      <w:rFonts w:ascii="Arial" w:hAnsi="Arial" w:cs="Arial"/>
      <w:color w:val="000000"/>
      <w:sz w:val="24"/>
      <w:szCs w:val="24"/>
      <w:lang w:eastAsia="fr-FR"/>
    </w:rPr>
  </w:style>
  <w:style w:type="character" w:styleId="Mentionnonrsolue">
    <w:name w:val="Unresolved Mention"/>
    <w:basedOn w:val="Policepardfaut"/>
    <w:uiPriority w:val="99"/>
    <w:semiHidden/>
    <w:unhideWhenUsed/>
    <w:rsid w:val="00767AAC"/>
    <w:rPr>
      <w:color w:val="605E5C"/>
      <w:shd w:val="clear" w:color="auto" w:fill="E1DFDD"/>
    </w:rPr>
  </w:style>
  <w:style w:type="paragraph" w:styleId="Rvision">
    <w:name w:val="Revision"/>
    <w:hidden/>
    <w:uiPriority w:val="99"/>
    <w:semiHidden/>
    <w:rsid w:val="00307941"/>
    <w:pPr>
      <w:spacing w:after="0" w:line="240" w:lineRule="auto"/>
    </w:pPr>
    <w:rPr>
      <w:rFonts w:ascii="Arial" w:eastAsia="Cambria"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1822">
      <w:bodyDiv w:val="1"/>
      <w:marLeft w:val="0"/>
      <w:marRight w:val="0"/>
      <w:marTop w:val="0"/>
      <w:marBottom w:val="0"/>
      <w:divBdr>
        <w:top w:val="none" w:sz="0" w:space="0" w:color="auto"/>
        <w:left w:val="none" w:sz="0" w:space="0" w:color="auto"/>
        <w:bottom w:val="none" w:sz="0" w:space="0" w:color="auto"/>
        <w:right w:val="none" w:sz="0" w:space="0" w:color="auto"/>
      </w:divBdr>
    </w:div>
    <w:div w:id="187841392">
      <w:bodyDiv w:val="1"/>
      <w:marLeft w:val="0"/>
      <w:marRight w:val="0"/>
      <w:marTop w:val="0"/>
      <w:marBottom w:val="0"/>
      <w:divBdr>
        <w:top w:val="none" w:sz="0" w:space="0" w:color="auto"/>
        <w:left w:val="none" w:sz="0" w:space="0" w:color="auto"/>
        <w:bottom w:val="none" w:sz="0" w:space="0" w:color="auto"/>
        <w:right w:val="none" w:sz="0" w:space="0" w:color="auto"/>
      </w:divBdr>
      <w:divsChild>
        <w:div w:id="538398752">
          <w:marLeft w:val="0"/>
          <w:marRight w:val="0"/>
          <w:marTop w:val="0"/>
          <w:marBottom w:val="0"/>
          <w:divBdr>
            <w:top w:val="none" w:sz="0" w:space="0" w:color="auto"/>
            <w:left w:val="none" w:sz="0" w:space="0" w:color="auto"/>
            <w:bottom w:val="none" w:sz="0" w:space="0" w:color="auto"/>
            <w:right w:val="none" w:sz="0" w:space="0" w:color="auto"/>
          </w:divBdr>
        </w:div>
      </w:divsChild>
    </w:div>
    <w:div w:id="644939782">
      <w:bodyDiv w:val="1"/>
      <w:marLeft w:val="0"/>
      <w:marRight w:val="0"/>
      <w:marTop w:val="0"/>
      <w:marBottom w:val="0"/>
      <w:divBdr>
        <w:top w:val="none" w:sz="0" w:space="0" w:color="auto"/>
        <w:left w:val="none" w:sz="0" w:space="0" w:color="auto"/>
        <w:bottom w:val="none" w:sz="0" w:space="0" w:color="auto"/>
        <w:right w:val="none" w:sz="0" w:space="0" w:color="auto"/>
      </w:divBdr>
    </w:div>
    <w:div w:id="707947460">
      <w:bodyDiv w:val="1"/>
      <w:marLeft w:val="0"/>
      <w:marRight w:val="0"/>
      <w:marTop w:val="0"/>
      <w:marBottom w:val="0"/>
      <w:divBdr>
        <w:top w:val="none" w:sz="0" w:space="0" w:color="auto"/>
        <w:left w:val="none" w:sz="0" w:space="0" w:color="auto"/>
        <w:bottom w:val="none" w:sz="0" w:space="0" w:color="auto"/>
        <w:right w:val="none" w:sz="0" w:space="0" w:color="auto"/>
      </w:divBdr>
    </w:div>
    <w:div w:id="733545793">
      <w:bodyDiv w:val="1"/>
      <w:marLeft w:val="0"/>
      <w:marRight w:val="0"/>
      <w:marTop w:val="0"/>
      <w:marBottom w:val="0"/>
      <w:divBdr>
        <w:top w:val="none" w:sz="0" w:space="0" w:color="auto"/>
        <w:left w:val="none" w:sz="0" w:space="0" w:color="auto"/>
        <w:bottom w:val="none" w:sz="0" w:space="0" w:color="auto"/>
        <w:right w:val="none" w:sz="0" w:space="0" w:color="auto"/>
      </w:divBdr>
    </w:div>
    <w:div w:id="1466463043">
      <w:bodyDiv w:val="1"/>
      <w:marLeft w:val="0"/>
      <w:marRight w:val="0"/>
      <w:marTop w:val="0"/>
      <w:marBottom w:val="0"/>
      <w:divBdr>
        <w:top w:val="none" w:sz="0" w:space="0" w:color="auto"/>
        <w:left w:val="none" w:sz="0" w:space="0" w:color="auto"/>
        <w:bottom w:val="none" w:sz="0" w:space="0" w:color="auto"/>
        <w:right w:val="none" w:sz="0" w:space="0" w:color="auto"/>
      </w:divBdr>
    </w:div>
    <w:div w:id="1956859795">
      <w:bodyDiv w:val="1"/>
      <w:marLeft w:val="0"/>
      <w:marRight w:val="0"/>
      <w:marTop w:val="0"/>
      <w:marBottom w:val="0"/>
      <w:divBdr>
        <w:top w:val="none" w:sz="0" w:space="0" w:color="auto"/>
        <w:left w:val="none" w:sz="0" w:space="0" w:color="auto"/>
        <w:bottom w:val="none" w:sz="0" w:space="0" w:color="auto"/>
        <w:right w:val="none" w:sz="0" w:space="0" w:color="auto"/>
      </w:divBdr>
      <w:divsChild>
        <w:div w:id="2043818237">
          <w:marLeft w:val="0"/>
          <w:marRight w:val="0"/>
          <w:marTop w:val="0"/>
          <w:marBottom w:val="0"/>
          <w:divBdr>
            <w:top w:val="none" w:sz="0" w:space="0" w:color="auto"/>
            <w:left w:val="none" w:sz="0" w:space="0" w:color="auto"/>
            <w:bottom w:val="none" w:sz="0" w:space="0" w:color="auto"/>
            <w:right w:val="none" w:sz="0" w:space="0" w:color="auto"/>
          </w:divBdr>
          <w:divsChild>
            <w:div w:id="189269326">
              <w:marLeft w:val="0"/>
              <w:marRight w:val="0"/>
              <w:marTop w:val="0"/>
              <w:marBottom w:val="0"/>
              <w:divBdr>
                <w:top w:val="none" w:sz="0" w:space="0" w:color="auto"/>
                <w:left w:val="none" w:sz="0" w:space="0" w:color="auto"/>
                <w:bottom w:val="none" w:sz="0" w:space="0" w:color="auto"/>
                <w:right w:val="none" w:sz="0" w:space="0" w:color="auto"/>
              </w:divBdr>
              <w:divsChild>
                <w:div w:id="670987950">
                  <w:marLeft w:val="0"/>
                  <w:marRight w:val="0"/>
                  <w:marTop w:val="0"/>
                  <w:marBottom w:val="0"/>
                  <w:divBdr>
                    <w:top w:val="none" w:sz="0" w:space="0" w:color="auto"/>
                    <w:left w:val="none" w:sz="0" w:space="0" w:color="auto"/>
                    <w:bottom w:val="none" w:sz="0" w:space="0" w:color="auto"/>
                    <w:right w:val="none" w:sz="0" w:space="0" w:color="auto"/>
                  </w:divBdr>
                  <w:divsChild>
                    <w:div w:id="2113278581">
                      <w:marLeft w:val="0"/>
                      <w:marRight w:val="0"/>
                      <w:marTop w:val="0"/>
                      <w:marBottom w:val="0"/>
                      <w:divBdr>
                        <w:top w:val="none" w:sz="0" w:space="0" w:color="auto"/>
                        <w:left w:val="none" w:sz="0" w:space="0" w:color="auto"/>
                        <w:bottom w:val="none" w:sz="0" w:space="0" w:color="auto"/>
                        <w:right w:val="none" w:sz="0" w:space="0" w:color="auto"/>
                      </w:divBdr>
                      <w:divsChild>
                        <w:div w:id="10381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h3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d@h3c.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4A2B1-863B-4D0D-A97B-5EF8E75B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1440</Words>
  <Characters>7924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c:creator>
  <cp:keywords/>
  <dc:description/>
  <cp:lastModifiedBy>CAUDRON Agnes</cp:lastModifiedBy>
  <cp:revision>2</cp:revision>
  <dcterms:created xsi:type="dcterms:W3CDTF">2021-05-27T15:19:00Z</dcterms:created>
  <dcterms:modified xsi:type="dcterms:W3CDTF">2021-05-27T15:19:00Z</dcterms:modified>
</cp:coreProperties>
</file>